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C79" w:rsidRDefault="00573C79" w:rsidP="00573C79">
      <w:pPr>
        <w:spacing w:after="0" w:line="259" w:lineRule="auto"/>
        <w:contextualSpacing w:val="0"/>
        <w:jc w:val="center"/>
        <w:rPr>
          <w:rFonts w:eastAsia="Calibri"/>
          <w:b/>
          <w:bCs/>
          <w:spacing w:val="-2"/>
          <w:sz w:val="22"/>
          <w:szCs w:val="22"/>
          <w:lang w:val="en-US"/>
        </w:rPr>
      </w:pPr>
      <w:r w:rsidRPr="00573C79">
        <w:rPr>
          <w:rFonts w:eastAsia="Calibri"/>
          <w:b/>
          <w:bCs/>
          <w:spacing w:val="-2"/>
          <w:sz w:val="22"/>
          <w:szCs w:val="22"/>
          <w:lang w:val="en-US"/>
        </w:rPr>
        <w:t>AN ANALYSIS ON THE MODERN GROUNDS ON JUDICIAL REVIEW OF ADMINISTRATIVE ACTION IN SRI LANKA</w:t>
      </w:r>
    </w:p>
    <w:p w:rsidR="00573C79" w:rsidRPr="00573C79" w:rsidRDefault="00573C79" w:rsidP="00573C79">
      <w:pPr>
        <w:spacing w:after="0" w:line="259" w:lineRule="auto"/>
        <w:contextualSpacing w:val="0"/>
        <w:jc w:val="center"/>
        <w:rPr>
          <w:rFonts w:eastAsia="Calibri"/>
          <w:b/>
          <w:bCs/>
          <w:spacing w:val="-2"/>
          <w:sz w:val="22"/>
          <w:szCs w:val="22"/>
          <w:lang w:val="en-US"/>
        </w:rPr>
      </w:pPr>
    </w:p>
    <w:p w:rsidR="00573C79" w:rsidRPr="00573C79" w:rsidRDefault="00573C79" w:rsidP="00573C79">
      <w:pPr>
        <w:spacing w:after="0" w:line="240" w:lineRule="auto"/>
        <w:jc w:val="center"/>
        <w:rPr>
          <w:rFonts w:eastAsia="Calibri"/>
          <w:b/>
          <w:bCs/>
          <w:i/>
          <w:iCs/>
          <w:sz w:val="22"/>
          <w:szCs w:val="22"/>
        </w:rPr>
      </w:pPr>
      <w:r w:rsidRPr="00573C79">
        <w:rPr>
          <w:rFonts w:eastAsia="Calibri"/>
          <w:b/>
          <w:bCs/>
          <w:i/>
          <w:iCs/>
          <w:sz w:val="22"/>
          <w:szCs w:val="22"/>
        </w:rPr>
        <w:t xml:space="preserve">I.A.R. </w:t>
      </w:r>
      <w:proofErr w:type="spellStart"/>
      <w:r w:rsidRPr="00573C79">
        <w:rPr>
          <w:rFonts w:eastAsia="Calibri"/>
          <w:b/>
          <w:bCs/>
          <w:i/>
          <w:iCs/>
          <w:sz w:val="22"/>
          <w:szCs w:val="22"/>
        </w:rPr>
        <w:t>Athukorala</w:t>
      </w:r>
      <w:proofErr w:type="spellEnd"/>
      <w:r w:rsidRPr="00573C79">
        <w:rPr>
          <w:rFonts w:eastAsia="Calibri"/>
          <w:b/>
          <w:bCs/>
          <w:i/>
          <w:iCs/>
          <w:sz w:val="22"/>
          <w:szCs w:val="22"/>
        </w:rPr>
        <w:t>*</w:t>
      </w:r>
    </w:p>
    <w:p w:rsidR="00573C79" w:rsidRPr="00573C79" w:rsidRDefault="00573C79" w:rsidP="00573C79">
      <w:pPr>
        <w:spacing w:after="0" w:line="240" w:lineRule="auto"/>
        <w:jc w:val="center"/>
        <w:rPr>
          <w:rFonts w:eastAsia="Calibri"/>
          <w:b/>
          <w:bCs/>
          <w:i/>
          <w:iCs/>
          <w:sz w:val="22"/>
          <w:szCs w:val="22"/>
        </w:rPr>
      </w:pPr>
    </w:p>
    <w:p w:rsidR="00573C79" w:rsidRPr="00573C79" w:rsidRDefault="00573C79" w:rsidP="00573C79">
      <w:pPr>
        <w:spacing w:after="0" w:line="240" w:lineRule="auto"/>
        <w:jc w:val="center"/>
        <w:rPr>
          <w:rFonts w:eastAsia="Calibri"/>
          <w:i/>
          <w:iCs/>
          <w:sz w:val="22"/>
          <w:szCs w:val="22"/>
        </w:rPr>
      </w:pPr>
      <w:r w:rsidRPr="00573C79">
        <w:rPr>
          <w:rFonts w:eastAsia="Calibri"/>
          <w:i/>
          <w:iCs/>
          <w:sz w:val="22"/>
          <w:szCs w:val="22"/>
        </w:rPr>
        <w:t>Wayamba Uni</w:t>
      </w:r>
      <w:bookmarkStart w:id="0" w:name="_GoBack"/>
      <w:bookmarkEnd w:id="0"/>
      <w:r w:rsidRPr="00573C79">
        <w:rPr>
          <w:rFonts w:eastAsia="Calibri"/>
          <w:i/>
          <w:iCs/>
          <w:sz w:val="22"/>
          <w:szCs w:val="22"/>
        </w:rPr>
        <w:t>versity of Sri Lanka</w:t>
      </w:r>
    </w:p>
    <w:p w:rsidR="00266BC7" w:rsidRPr="00266BC7" w:rsidRDefault="00266BC7" w:rsidP="00266BC7">
      <w:pPr>
        <w:spacing w:after="0" w:line="240" w:lineRule="auto"/>
        <w:contextualSpacing w:val="0"/>
        <w:rPr>
          <w:rFonts w:eastAsia="Calibri"/>
          <w:b/>
          <w:bCs/>
          <w:sz w:val="22"/>
          <w:szCs w:val="22"/>
          <w:lang w:val="en-US"/>
        </w:rPr>
      </w:pPr>
    </w:p>
    <w:p w:rsidR="00341281" w:rsidRDefault="00341281" w:rsidP="00701976">
      <w:pPr>
        <w:pStyle w:val="ACSHeading"/>
        <w:jc w:val="both"/>
      </w:pPr>
      <w:r>
        <w:t xml:space="preserve">Introduction </w:t>
      </w:r>
    </w:p>
    <w:p w:rsidR="00201697" w:rsidRDefault="00201697" w:rsidP="00701976">
      <w:pPr>
        <w:pStyle w:val="ACSHeading"/>
        <w:jc w:val="both"/>
      </w:pPr>
    </w:p>
    <w:p w:rsidR="00EF00A0" w:rsidRPr="00733F20" w:rsidRDefault="00EF00A0" w:rsidP="00701976">
      <w:pPr>
        <w:spacing w:after="0" w:line="240" w:lineRule="auto"/>
        <w:ind w:left="-180"/>
        <w:contextualSpacing w:val="0"/>
        <w:rPr>
          <w:rFonts w:eastAsia="Calibri"/>
          <w:sz w:val="22"/>
          <w:szCs w:val="22"/>
          <w:lang w:val="en-US" w:bidi="ta-IN"/>
        </w:rPr>
      </w:pPr>
      <w:r w:rsidRPr="00733F20">
        <w:rPr>
          <w:rFonts w:eastAsia="Calibri"/>
          <w:sz w:val="22"/>
          <w:szCs w:val="22"/>
          <w:lang w:val="en-US"/>
        </w:rPr>
        <w:t>Judicial Review of administrative actions is based on various principles in administrative law</w:t>
      </w:r>
      <w:r w:rsidR="00455643" w:rsidRPr="00733F20">
        <w:rPr>
          <w:rFonts w:eastAsia="Calibri"/>
          <w:sz w:val="22"/>
          <w:szCs w:val="22"/>
          <w:lang w:val="en-US"/>
        </w:rPr>
        <w:t>.</w:t>
      </w:r>
      <w:r w:rsidR="00B754D9" w:rsidRPr="00733F20">
        <w:rPr>
          <w:sz w:val="22"/>
          <w:szCs w:val="22"/>
        </w:rPr>
        <w:t>D</w:t>
      </w:r>
      <w:r w:rsidR="00B754D9" w:rsidRPr="00733F20">
        <w:t xml:space="preserve">octrine of ultra vires is not the </w:t>
      </w:r>
      <w:r w:rsidR="00BB3A48" w:rsidRPr="00733F20">
        <w:t xml:space="preserve">basis </w:t>
      </w:r>
      <w:r w:rsidR="00B754D9" w:rsidRPr="00733F20">
        <w:t>of judicial review</w:t>
      </w:r>
      <w:r w:rsidR="00B754D9" w:rsidRPr="00733F20">
        <w:rPr>
          <w:sz w:val="22"/>
          <w:szCs w:val="22"/>
        </w:rPr>
        <w:t xml:space="preserve">. </w:t>
      </w:r>
      <w:r w:rsidRPr="00733F20">
        <w:rPr>
          <w:rFonts w:eastAsia="Calibri"/>
          <w:color w:val="000000"/>
          <w:sz w:val="22"/>
          <w:szCs w:val="22"/>
          <w:shd w:val="clear" w:color="auto" w:fill="FFFFFF"/>
          <w:lang w:val="en-US"/>
        </w:rPr>
        <w:t>(Marsoof, 2005)</w:t>
      </w:r>
      <w:r w:rsidRPr="00733F20">
        <w:rPr>
          <w:rFonts w:eastAsia="Calibri"/>
          <w:sz w:val="22"/>
          <w:szCs w:val="22"/>
          <w:lang w:val="en-US"/>
        </w:rPr>
        <w:t xml:space="preserve"> The basic acceptance is that public power should be subject</w:t>
      </w:r>
      <w:r w:rsidR="00455643" w:rsidRPr="00733F20">
        <w:rPr>
          <w:rFonts w:eastAsia="Calibri"/>
          <w:sz w:val="22"/>
          <w:szCs w:val="22"/>
          <w:lang w:val="en-US"/>
        </w:rPr>
        <w:t>ed</w:t>
      </w:r>
      <w:r w:rsidRPr="00733F20">
        <w:rPr>
          <w:rFonts w:eastAsia="Calibri"/>
          <w:sz w:val="22"/>
          <w:szCs w:val="22"/>
          <w:lang w:val="en-US"/>
        </w:rPr>
        <w:t xml:space="preserve"> to some control in the process of judicial review</w:t>
      </w:r>
      <w:r w:rsidRPr="009D56D3">
        <w:rPr>
          <w:rFonts w:eastAsia="Calibri"/>
          <w:color w:val="000000"/>
          <w:sz w:val="22"/>
          <w:szCs w:val="22"/>
          <w:shd w:val="clear" w:color="auto" w:fill="FFFFFF"/>
          <w:lang w:val="en-US"/>
        </w:rPr>
        <w:t xml:space="preserve"> (Gomez, 2001)</w:t>
      </w:r>
      <w:r w:rsidRPr="009D56D3">
        <w:rPr>
          <w:rFonts w:eastAsia="Calibri"/>
          <w:sz w:val="22"/>
          <w:szCs w:val="22"/>
          <w:lang w:val="en-US"/>
        </w:rPr>
        <w:t>.</w:t>
      </w:r>
      <w:r w:rsidR="007D61EE">
        <w:rPr>
          <w:rFonts w:eastAsia="Calibri"/>
          <w:sz w:val="22"/>
          <w:szCs w:val="22"/>
          <w:lang w:val="en-US"/>
        </w:rPr>
        <w:t xml:space="preserve"> </w:t>
      </w:r>
      <w:r w:rsidRPr="00733F20">
        <w:rPr>
          <w:rFonts w:eastAsia="Calibri"/>
          <w:sz w:val="22"/>
          <w:szCs w:val="22"/>
          <w:lang w:val="en-US"/>
        </w:rPr>
        <w:t>The judiciary has played a creative and imaginative role in developing the grounds of judicial review. Simultaneously</w:t>
      </w:r>
      <w:r w:rsidR="00455643" w:rsidRPr="00733F20">
        <w:rPr>
          <w:rFonts w:eastAsia="Calibri"/>
          <w:sz w:val="22"/>
          <w:szCs w:val="22"/>
          <w:lang w:val="en-US"/>
        </w:rPr>
        <w:t>,</w:t>
      </w:r>
      <w:r w:rsidRPr="00733F20">
        <w:rPr>
          <w:rFonts w:eastAsia="Calibri"/>
          <w:sz w:val="22"/>
          <w:szCs w:val="22"/>
          <w:lang w:val="en-US"/>
        </w:rPr>
        <w:t xml:space="preserve"> it has paid its attention on both upholding the principle of rule of law in the country and protecting the substantive rights of the individuals. Grounds of judicial Review are varying in Sri Lanka according to the gradual development of the core principles underpinning administrative law. Sri Lanka handl</w:t>
      </w:r>
      <w:r w:rsidR="00913C93" w:rsidRPr="00733F20">
        <w:rPr>
          <w:rFonts w:eastAsia="Calibri"/>
          <w:sz w:val="22"/>
          <w:szCs w:val="22"/>
          <w:lang w:val="en-US"/>
        </w:rPr>
        <w:t>es</w:t>
      </w:r>
      <w:r w:rsidRPr="00733F20">
        <w:rPr>
          <w:rFonts w:eastAsia="Calibri"/>
          <w:sz w:val="22"/>
          <w:szCs w:val="22"/>
          <w:lang w:val="en-US"/>
        </w:rPr>
        <w:t xml:space="preserve"> this matter with a written constitution and concepts like rule of law are enshrined in the constitution although the same wordings are not included. This paper </w:t>
      </w:r>
      <w:r w:rsidR="00913C93" w:rsidRPr="00733F20">
        <w:rPr>
          <w:rFonts w:eastAsia="Calibri"/>
          <w:sz w:val="22"/>
          <w:szCs w:val="22"/>
          <w:lang w:val="en-US"/>
        </w:rPr>
        <w:t>explores</w:t>
      </w:r>
      <w:r w:rsidRPr="00733F20">
        <w:rPr>
          <w:rFonts w:eastAsia="Calibri"/>
          <w:sz w:val="22"/>
          <w:szCs w:val="22"/>
          <w:lang w:val="en-US"/>
        </w:rPr>
        <w:t xml:space="preserve"> </w:t>
      </w:r>
      <w:r w:rsidR="001979F4" w:rsidRPr="00733F20">
        <w:rPr>
          <w:rFonts w:eastAsia="Calibri"/>
          <w:sz w:val="22"/>
          <w:szCs w:val="22"/>
          <w:lang w:val="en-US"/>
        </w:rPr>
        <w:t xml:space="preserve">about the modern grounds on judicial review of administrative action </w:t>
      </w:r>
      <w:r w:rsidRPr="00733F20">
        <w:rPr>
          <w:rFonts w:eastAsia="Calibri"/>
          <w:sz w:val="22"/>
          <w:szCs w:val="22"/>
          <w:lang w:val="en-US"/>
        </w:rPr>
        <w:t xml:space="preserve">with regard to Sri Lankan context. </w:t>
      </w:r>
    </w:p>
    <w:p w:rsidR="00EF00A0" w:rsidRPr="00EF00A0" w:rsidRDefault="001979F4" w:rsidP="0093187C">
      <w:pPr>
        <w:tabs>
          <w:tab w:val="left" w:pos="5580"/>
        </w:tabs>
        <w:spacing w:after="0" w:line="240" w:lineRule="auto"/>
        <w:ind w:left="-180"/>
        <w:contextualSpacing w:val="0"/>
        <w:rPr>
          <w:rFonts w:eastAsia="Calibri"/>
          <w:b/>
          <w:bCs/>
          <w:sz w:val="22"/>
          <w:szCs w:val="22"/>
          <w:lang w:val="en-US"/>
        </w:rPr>
      </w:pPr>
      <w:r>
        <w:rPr>
          <w:rFonts w:eastAsia="Calibri"/>
          <w:b/>
          <w:bCs/>
          <w:sz w:val="22"/>
          <w:szCs w:val="22"/>
          <w:lang w:val="en-US"/>
        </w:rPr>
        <w:tab/>
      </w:r>
    </w:p>
    <w:p w:rsidR="007925F3" w:rsidRDefault="007925F3" w:rsidP="00701976">
      <w:pPr>
        <w:pStyle w:val="ACSHeading"/>
        <w:jc w:val="both"/>
      </w:pPr>
      <w:r>
        <w:t>Methodology</w:t>
      </w:r>
    </w:p>
    <w:p w:rsidR="00EF00A0" w:rsidRPr="00EF00A0" w:rsidRDefault="00EF00A0" w:rsidP="00701976">
      <w:pPr>
        <w:spacing w:after="0" w:line="240" w:lineRule="auto"/>
        <w:ind w:left="-180"/>
        <w:contextualSpacing w:val="0"/>
        <w:rPr>
          <w:rFonts w:eastAsia="Calibri"/>
          <w:b/>
          <w:bCs/>
          <w:sz w:val="22"/>
          <w:szCs w:val="22"/>
          <w:lang w:val="en-US"/>
        </w:rPr>
      </w:pPr>
      <w:r w:rsidRPr="00EF00A0">
        <w:rPr>
          <w:rFonts w:eastAsia="Calibri"/>
          <w:sz w:val="22"/>
          <w:szCs w:val="22"/>
          <w:lang w:val="en-US"/>
        </w:rPr>
        <w:t>The extended literary review methodology is used as the research methodology of this research</w:t>
      </w:r>
      <w:r w:rsidRPr="00EF00A0">
        <w:rPr>
          <w:rFonts w:eastAsia="Calibri"/>
          <w:b/>
          <w:bCs/>
          <w:sz w:val="22"/>
          <w:szCs w:val="22"/>
          <w:lang w:val="en-US"/>
        </w:rPr>
        <w:t>.</w:t>
      </w:r>
    </w:p>
    <w:p w:rsidR="00FD2149" w:rsidRDefault="00FD2149" w:rsidP="00701976">
      <w:pPr>
        <w:pStyle w:val="ACSHeading"/>
        <w:jc w:val="both"/>
      </w:pPr>
    </w:p>
    <w:p w:rsidR="007925F3" w:rsidRDefault="007925F3" w:rsidP="00701976">
      <w:pPr>
        <w:pStyle w:val="ACSHeading"/>
        <w:jc w:val="both"/>
      </w:pPr>
      <w:r>
        <w:t>RESULTS AND DISCUSSION</w:t>
      </w:r>
    </w:p>
    <w:p w:rsidR="00701976" w:rsidRDefault="00701976" w:rsidP="00701976">
      <w:pPr>
        <w:pStyle w:val="ACSHeading"/>
        <w:jc w:val="both"/>
      </w:pPr>
    </w:p>
    <w:p w:rsidR="00EF00A0" w:rsidRPr="00733F20" w:rsidRDefault="00EF00A0" w:rsidP="00701976">
      <w:pPr>
        <w:spacing w:after="0" w:line="240" w:lineRule="auto"/>
        <w:contextualSpacing w:val="0"/>
        <w:rPr>
          <w:rFonts w:eastAsia="Calibri"/>
          <w:sz w:val="22"/>
          <w:szCs w:val="22"/>
          <w:u w:val="single"/>
          <w:lang w:val="en-US"/>
        </w:rPr>
      </w:pPr>
      <w:r w:rsidRPr="00733F20">
        <w:rPr>
          <w:rFonts w:eastAsia="Calibri"/>
          <w:sz w:val="22"/>
          <w:szCs w:val="22"/>
          <w:u w:val="single"/>
          <w:lang w:val="en-US"/>
        </w:rPr>
        <w:t xml:space="preserve">Doctrine of Ultra Vires and Judicial </w:t>
      </w:r>
      <w:r w:rsidR="00F6294E" w:rsidRPr="00733F20">
        <w:rPr>
          <w:rFonts w:eastAsia="Calibri"/>
          <w:sz w:val="22"/>
          <w:szCs w:val="22"/>
          <w:u w:val="single"/>
          <w:lang w:val="en-US"/>
        </w:rPr>
        <w:t>R</w:t>
      </w:r>
      <w:r w:rsidRPr="00733F20">
        <w:rPr>
          <w:rFonts w:eastAsia="Calibri"/>
          <w:sz w:val="22"/>
          <w:szCs w:val="22"/>
          <w:u w:val="single"/>
          <w:lang w:val="en-US"/>
        </w:rPr>
        <w:t>eview</w:t>
      </w:r>
    </w:p>
    <w:p w:rsidR="00EF00A0" w:rsidRPr="00733F20" w:rsidRDefault="00EF00A0" w:rsidP="00701976">
      <w:pPr>
        <w:spacing w:after="0" w:line="240" w:lineRule="auto"/>
        <w:ind w:left="-90"/>
        <w:contextualSpacing w:val="0"/>
        <w:rPr>
          <w:rFonts w:eastAsia="Calibri"/>
          <w:sz w:val="22"/>
          <w:szCs w:val="22"/>
          <w:lang w:val="en-US"/>
        </w:rPr>
      </w:pPr>
      <w:r w:rsidRPr="009D56D3">
        <w:rPr>
          <w:rFonts w:eastAsia="Calibri"/>
          <w:sz w:val="22"/>
          <w:szCs w:val="22"/>
          <w:lang w:val="en-US"/>
        </w:rPr>
        <w:t>In the judicial review argument, some scholars like A.V. Dicey, Wade and Forsyth</w:t>
      </w:r>
      <w:r w:rsidRPr="009D56D3">
        <w:rPr>
          <w:rFonts w:eastAsia="Calibri"/>
          <w:color w:val="000000"/>
          <w:sz w:val="22"/>
          <w:szCs w:val="22"/>
          <w:shd w:val="clear" w:color="auto" w:fill="FFFFFF"/>
          <w:lang w:val="en-US"/>
        </w:rPr>
        <w:t xml:space="preserve"> (Wade &amp; Forsyth, 2009)</w:t>
      </w:r>
      <w:r w:rsidRPr="00733F20">
        <w:rPr>
          <w:rFonts w:eastAsia="Calibri"/>
          <w:sz w:val="22"/>
          <w:szCs w:val="22"/>
          <w:lang w:val="en-US"/>
        </w:rPr>
        <w:t xml:space="preserve"> have mainly focus</w:t>
      </w:r>
      <w:r w:rsidR="00B754D9" w:rsidRPr="00733F20">
        <w:rPr>
          <w:rFonts w:eastAsia="Calibri"/>
          <w:sz w:val="22"/>
          <w:szCs w:val="22"/>
          <w:lang w:val="en-US"/>
        </w:rPr>
        <w:t>ed</w:t>
      </w:r>
      <w:r w:rsidRPr="00733F20">
        <w:rPr>
          <w:rFonts w:eastAsia="Calibri"/>
          <w:sz w:val="22"/>
          <w:szCs w:val="22"/>
          <w:lang w:val="en-US"/>
        </w:rPr>
        <w:t xml:space="preserve"> on</w:t>
      </w:r>
      <w:r w:rsidR="00B754D9" w:rsidRPr="00733F20">
        <w:rPr>
          <w:rFonts w:eastAsia="Calibri"/>
          <w:sz w:val="22"/>
          <w:szCs w:val="22"/>
          <w:lang w:val="en-US"/>
        </w:rPr>
        <w:t xml:space="preserve"> upholding</w:t>
      </w:r>
      <w:r w:rsidRPr="00733F20">
        <w:rPr>
          <w:rFonts w:eastAsia="Calibri"/>
          <w:sz w:val="22"/>
          <w:szCs w:val="22"/>
          <w:lang w:val="en-US"/>
        </w:rPr>
        <w:t xml:space="preserve"> the sovereignty of parliament and ultra vires as the only ground for judicial review while the scholars like Paul Craig</w:t>
      </w:r>
      <w:r w:rsidRPr="009D56D3">
        <w:rPr>
          <w:rFonts w:eastAsia="Calibri"/>
          <w:color w:val="000000"/>
          <w:sz w:val="22"/>
          <w:szCs w:val="22"/>
          <w:shd w:val="clear" w:color="auto" w:fill="FFFFFF"/>
          <w:lang w:val="en-US"/>
        </w:rPr>
        <w:t xml:space="preserve"> (Craig, 1998)</w:t>
      </w:r>
      <w:r w:rsidRPr="009D56D3">
        <w:rPr>
          <w:rFonts w:eastAsia="Calibri"/>
          <w:sz w:val="22"/>
          <w:szCs w:val="22"/>
          <w:lang w:val="en-US"/>
        </w:rPr>
        <w:t xml:space="preserve"> T.R.S Allan</w:t>
      </w:r>
      <w:r w:rsidRPr="00733F20">
        <w:rPr>
          <w:rFonts w:eastAsia="Calibri"/>
          <w:color w:val="000000"/>
          <w:sz w:val="22"/>
          <w:szCs w:val="22"/>
          <w:shd w:val="clear" w:color="auto" w:fill="FFFFFF"/>
          <w:lang w:val="en-US"/>
        </w:rPr>
        <w:t xml:space="preserve"> (Allan, 2011)</w:t>
      </w:r>
      <w:r w:rsidRPr="00733F20">
        <w:rPr>
          <w:rFonts w:eastAsia="Calibri"/>
          <w:sz w:val="22"/>
          <w:szCs w:val="22"/>
          <w:lang w:val="en-US"/>
        </w:rPr>
        <w:t>, Mark Elliot</w:t>
      </w:r>
      <w:r w:rsidRPr="00733F20">
        <w:rPr>
          <w:rFonts w:eastAsia="Calibri"/>
          <w:color w:val="000000"/>
          <w:sz w:val="22"/>
          <w:szCs w:val="22"/>
          <w:shd w:val="clear" w:color="auto" w:fill="FFFFFF"/>
          <w:lang w:val="en-US"/>
        </w:rPr>
        <w:t xml:space="preserve"> (Elliott, 1999)</w:t>
      </w:r>
      <w:r w:rsidRPr="00733F20">
        <w:rPr>
          <w:rFonts w:eastAsia="Calibri"/>
          <w:sz w:val="22"/>
          <w:szCs w:val="22"/>
          <w:lang w:val="en-US"/>
        </w:rPr>
        <w:t xml:space="preserve">, Lord Woolf and John Laws argue that there are some more grounds </w:t>
      </w:r>
      <w:r w:rsidR="00B754D9" w:rsidRPr="00733F20">
        <w:rPr>
          <w:spacing w:val="28"/>
          <w:sz w:val="22"/>
          <w:szCs w:val="22"/>
        </w:rPr>
        <w:t xml:space="preserve">and principles </w:t>
      </w:r>
      <w:r w:rsidR="00BB3A48" w:rsidRPr="00733F20">
        <w:rPr>
          <w:spacing w:val="28"/>
          <w:sz w:val="22"/>
          <w:szCs w:val="22"/>
        </w:rPr>
        <w:t xml:space="preserve">that could </w:t>
      </w:r>
      <w:r w:rsidR="00B754D9" w:rsidRPr="00733F20">
        <w:rPr>
          <w:spacing w:val="28"/>
          <w:sz w:val="22"/>
          <w:szCs w:val="22"/>
        </w:rPr>
        <w:t xml:space="preserve">be applied and </w:t>
      </w:r>
      <w:r w:rsidR="00BB3A48" w:rsidRPr="00733F20">
        <w:rPr>
          <w:spacing w:val="28"/>
          <w:sz w:val="22"/>
          <w:szCs w:val="22"/>
        </w:rPr>
        <w:t xml:space="preserve">may have </w:t>
      </w:r>
      <w:r w:rsidR="00B754D9" w:rsidRPr="00733F20">
        <w:rPr>
          <w:spacing w:val="28"/>
          <w:sz w:val="22"/>
          <w:szCs w:val="22"/>
        </w:rPr>
        <w:t>already</w:t>
      </w:r>
      <w:r w:rsidR="003C030C" w:rsidRPr="00733F20">
        <w:rPr>
          <w:spacing w:val="28"/>
          <w:sz w:val="22"/>
          <w:szCs w:val="22"/>
        </w:rPr>
        <w:t xml:space="preserve"> been </w:t>
      </w:r>
      <w:r w:rsidR="00B754D9" w:rsidRPr="00733F20">
        <w:rPr>
          <w:spacing w:val="28"/>
          <w:sz w:val="22"/>
          <w:szCs w:val="22"/>
        </w:rPr>
        <w:t xml:space="preserve"> used by the </w:t>
      </w:r>
      <w:r w:rsidR="001979F4" w:rsidRPr="00733F20">
        <w:rPr>
          <w:spacing w:val="28"/>
          <w:sz w:val="22"/>
          <w:szCs w:val="22"/>
        </w:rPr>
        <w:t>court, apart</w:t>
      </w:r>
      <w:r w:rsidR="00BB3A48" w:rsidRPr="00733F20">
        <w:rPr>
          <w:spacing w:val="28"/>
          <w:sz w:val="22"/>
          <w:szCs w:val="22"/>
        </w:rPr>
        <w:t xml:space="preserve"> from </w:t>
      </w:r>
      <w:r w:rsidRPr="00733F20">
        <w:rPr>
          <w:rFonts w:eastAsia="Calibri"/>
          <w:sz w:val="22"/>
          <w:szCs w:val="22"/>
          <w:lang w:val="en-US"/>
        </w:rPr>
        <w:t>the doctrine of ultra vires for judicial review like rule of law, legitimat</w:t>
      </w:r>
      <w:r w:rsidR="00BB3A48" w:rsidRPr="00733F20">
        <w:rPr>
          <w:rFonts w:eastAsia="Calibri"/>
          <w:sz w:val="22"/>
          <w:szCs w:val="22"/>
          <w:lang w:val="en-US"/>
        </w:rPr>
        <w:t>e</w:t>
      </w:r>
      <w:r w:rsidR="0003589B" w:rsidRPr="00733F20">
        <w:rPr>
          <w:rFonts w:eastAsia="Calibri"/>
          <w:sz w:val="22"/>
          <w:szCs w:val="22"/>
          <w:lang w:val="en-US"/>
        </w:rPr>
        <w:t xml:space="preserve"> expectation and proportionality </w:t>
      </w:r>
      <w:r w:rsidR="00BB3A48" w:rsidRPr="00733F20">
        <w:rPr>
          <w:rFonts w:eastAsia="Calibri"/>
          <w:sz w:val="22"/>
          <w:szCs w:val="22"/>
          <w:lang w:val="en-US"/>
        </w:rPr>
        <w:t xml:space="preserve"> in the </w:t>
      </w:r>
      <w:r w:rsidR="00B754D9" w:rsidRPr="00733F20">
        <w:rPr>
          <w:spacing w:val="-1"/>
        </w:rPr>
        <w:t xml:space="preserve"> light of its commitment to secure principles of</w:t>
      </w:r>
      <w:r w:rsidRPr="00733F20">
        <w:rPr>
          <w:rFonts w:eastAsia="Calibri"/>
          <w:sz w:val="22"/>
          <w:szCs w:val="22"/>
          <w:lang w:val="en-US"/>
        </w:rPr>
        <w:t xml:space="preserve"> constitutionalism. It has very clear diverged path namely the writs</w:t>
      </w:r>
      <w:r w:rsidR="00B754D9" w:rsidRPr="009D56D3">
        <w:rPr>
          <w:rFonts w:eastAsia="Calibri"/>
          <w:sz w:val="22"/>
          <w:szCs w:val="22"/>
          <w:lang w:val="en-US"/>
        </w:rPr>
        <w:t xml:space="preserve"> and fundamental rights</w:t>
      </w:r>
      <w:r w:rsidR="00B754D9" w:rsidRPr="00733F20">
        <w:rPr>
          <w:rFonts w:eastAsia="Calibri"/>
          <w:sz w:val="22"/>
          <w:szCs w:val="22"/>
          <w:lang w:val="en-US"/>
        </w:rPr>
        <w:t>. Writs</w:t>
      </w:r>
      <w:r w:rsidRPr="00733F20">
        <w:rPr>
          <w:rFonts w:eastAsia="Calibri"/>
          <w:sz w:val="22"/>
          <w:szCs w:val="22"/>
          <w:lang w:val="en-US"/>
        </w:rPr>
        <w:t xml:space="preserve"> are descriptively mentioned in</w:t>
      </w:r>
      <w:r w:rsidR="007D0393" w:rsidRPr="00733F20">
        <w:rPr>
          <w:rFonts w:eastAsia="Calibri"/>
          <w:sz w:val="22"/>
          <w:szCs w:val="22"/>
          <w:lang w:val="en-US"/>
        </w:rPr>
        <w:t xml:space="preserve"> Article 140,154.P (4</w:t>
      </w:r>
      <w:r w:rsidR="00B754D9" w:rsidRPr="00733F20">
        <w:rPr>
          <w:rFonts w:eastAsia="Calibri"/>
          <w:sz w:val="22"/>
          <w:szCs w:val="22"/>
          <w:lang w:val="en-US"/>
        </w:rPr>
        <w:t>) in the C</w:t>
      </w:r>
      <w:r w:rsidRPr="00733F20">
        <w:rPr>
          <w:rFonts w:eastAsia="Calibri"/>
          <w:sz w:val="22"/>
          <w:szCs w:val="22"/>
          <w:lang w:val="en-US"/>
        </w:rPr>
        <w:t>onstitution</w:t>
      </w:r>
      <w:r w:rsidR="00B754D9" w:rsidRPr="00733F20">
        <w:rPr>
          <w:rFonts w:eastAsia="Calibri"/>
          <w:sz w:val="22"/>
          <w:szCs w:val="22"/>
          <w:lang w:val="en-US"/>
        </w:rPr>
        <w:t>. F</w:t>
      </w:r>
      <w:r w:rsidRPr="00733F20">
        <w:rPr>
          <w:rFonts w:eastAsia="Calibri"/>
          <w:sz w:val="22"/>
          <w:szCs w:val="22"/>
          <w:lang w:val="en-US"/>
        </w:rPr>
        <w:t xml:space="preserve">undamental rights guaranteed by the chapter III of the constitution with Article 126 of the constitution regarding the breach of </w:t>
      </w:r>
      <w:r w:rsidR="00F6294E" w:rsidRPr="00733F20">
        <w:rPr>
          <w:rFonts w:eastAsia="Calibri"/>
          <w:sz w:val="22"/>
          <w:szCs w:val="22"/>
          <w:lang w:val="en-US"/>
        </w:rPr>
        <w:t xml:space="preserve">fundamental </w:t>
      </w:r>
      <w:r w:rsidRPr="00733F20">
        <w:rPr>
          <w:rFonts w:eastAsia="Calibri"/>
          <w:sz w:val="22"/>
          <w:szCs w:val="22"/>
          <w:lang w:val="en-US"/>
        </w:rPr>
        <w:t xml:space="preserve">rights. Sri Lanka has developed various grounds for judicial review from time to time namely public trust doctrine and public interest litigation, proportionality, legitimate expectation, natural justice and right to equality by the active and creative contribution of the judiciary. Mainly it is also focusing on the right based approach in judicial review. In the next parts of this paper it will be discussed that how the basis of judicial review has changed in Sri Lanka, development of the grounds for it independently but with the ultimate  purpose of ensuring the rights of the people by controlling the administrative actions for a fair and good administration. </w:t>
      </w:r>
    </w:p>
    <w:p w:rsidR="00EF00A0" w:rsidRPr="00733F20" w:rsidRDefault="00EF00A0" w:rsidP="00701976">
      <w:pPr>
        <w:spacing w:after="0" w:line="240" w:lineRule="auto"/>
        <w:contextualSpacing w:val="0"/>
        <w:rPr>
          <w:rFonts w:eastAsia="Calibri"/>
          <w:sz w:val="22"/>
          <w:szCs w:val="22"/>
          <w:lang w:val="en-US"/>
        </w:rPr>
      </w:pPr>
    </w:p>
    <w:p w:rsidR="00EF00A0" w:rsidRPr="000C265C" w:rsidRDefault="00EF00A0" w:rsidP="000C265C">
      <w:pPr>
        <w:spacing w:after="0" w:line="240" w:lineRule="auto"/>
        <w:ind w:left="-180"/>
        <w:contextualSpacing w:val="0"/>
        <w:rPr>
          <w:rFonts w:eastAsia="Calibri"/>
          <w:sz w:val="22"/>
          <w:szCs w:val="22"/>
          <w:u w:val="single"/>
          <w:lang w:val="en-US"/>
        </w:rPr>
      </w:pPr>
      <w:r w:rsidRPr="00733F20">
        <w:rPr>
          <w:rFonts w:eastAsia="Calibri"/>
          <w:sz w:val="22"/>
          <w:szCs w:val="22"/>
          <w:lang w:val="en-US"/>
        </w:rPr>
        <w:t xml:space="preserve"> </w:t>
      </w:r>
      <w:r w:rsidRPr="00733F20">
        <w:rPr>
          <w:rFonts w:eastAsia="Calibri"/>
          <w:sz w:val="22"/>
          <w:szCs w:val="22"/>
          <w:u w:val="single"/>
          <w:lang w:val="en-US"/>
        </w:rPr>
        <w:t>History of the Judicial Review in Sri Lanka</w:t>
      </w:r>
      <w:r w:rsidR="00BB3A48" w:rsidRPr="00733F20">
        <w:rPr>
          <w:sz w:val="22"/>
          <w:szCs w:val="22"/>
        </w:rPr>
        <w:t>The origin</w:t>
      </w:r>
      <w:r w:rsidR="00A15D21" w:rsidRPr="00733F20">
        <w:rPr>
          <w:sz w:val="22"/>
          <w:szCs w:val="22"/>
        </w:rPr>
        <w:t xml:space="preserve"> of judicial review of Sri Lanka goes back to </w:t>
      </w:r>
      <w:r w:rsidRPr="00733F20">
        <w:rPr>
          <w:rFonts w:eastAsia="Calibri"/>
          <w:sz w:val="22"/>
          <w:szCs w:val="22"/>
          <w:lang w:val="en-US"/>
        </w:rPr>
        <w:t>Ceylon charter of 1802.</w:t>
      </w:r>
      <w:r w:rsidR="00A15D21" w:rsidRPr="00733F20">
        <w:rPr>
          <w:spacing w:val="-1"/>
          <w:sz w:val="22"/>
          <w:szCs w:val="22"/>
        </w:rPr>
        <w:t xml:space="preserve"> </w:t>
      </w:r>
      <w:r w:rsidR="00A15D21" w:rsidRPr="009D56D3">
        <w:rPr>
          <w:spacing w:val="-1"/>
        </w:rPr>
        <w:t>Subsequently</w:t>
      </w:r>
      <w:r w:rsidR="00F6294E" w:rsidRPr="009D56D3">
        <w:rPr>
          <w:spacing w:val="-1"/>
        </w:rPr>
        <w:t>,</w:t>
      </w:r>
      <w:r w:rsidR="00A15D21" w:rsidRPr="009D56D3">
        <w:rPr>
          <w:spacing w:val="-1"/>
        </w:rPr>
        <w:t xml:space="preserve"> it could be found with</w:t>
      </w:r>
      <w:r w:rsidR="00A15D21" w:rsidRPr="00733F20">
        <w:rPr>
          <w:rFonts w:eastAsia="Calibri"/>
          <w:sz w:val="22"/>
          <w:szCs w:val="22"/>
          <w:lang w:val="en-US"/>
        </w:rPr>
        <w:t xml:space="preserve"> Ceylon C</w:t>
      </w:r>
      <w:r w:rsidRPr="00733F20">
        <w:rPr>
          <w:rFonts w:eastAsia="Calibri"/>
          <w:sz w:val="22"/>
          <w:szCs w:val="22"/>
          <w:lang w:val="en-US"/>
        </w:rPr>
        <w:t xml:space="preserve">harter of Justice in 1833 and Administration of Justice Ordinance No.11 of 1868 and Courts Ordinance. </w:t>
      </w:r>
      <w:r w:rsidR="00A15D21" w:rsidRPr="00733F20">
        <w:rPr>
          <w:rFonts w:eastAsia="Calibri"/>
          <w:sz w:val="22"/>
          <w:szCs w:val="22"/>
          <w:lang w:val="en-US"/>
        </w:rPr>
        <w:t>The ultimate purpose of these O</w:t>
      </w:r>
      <w:r w:rsidR="00BB3A48" w:rsidRPr="00733F20">
        <w:rPr>
          <w:rFonts w:eastAsia="Calibri"/>
          <w:sz w:val="22"/>
          <w:szCs w:val="22"/>
          <w:lang w:val="en-US"/>
        </w:rPr>
        <w:t>rdinances was</w:t>
      </w:r>
      <w:r w:rsidR="00A15D21" w:rsidRPr="00733F20">
        <w:rPr>
          <w:rFonts w:eastAsia="Calibri"/>
          <w:sz w:val="22"/>
          <w:szCs w:val="22"/>
          <w:lang w:val="en-US"/>
        </w:rPr>
        <w:t xml:space="preserve"> to confer</w:t>
      </w:r>
      <w:r w:rsidRPr="00733F20">
        <w:rPr>
          <w:rFonts w:eastAsia="Calibri"/>
          <w:sz w:val="22"/>
          <w:szCs w:val="22"/>
          <w:lang w:val="en-US"/>
        </w:rPr>
        <w:t xml:space="preserve"> power to the Supreme Court to examine whether the inferior courts or other </w:t>
      </w:r>
      <w:r w:rsidR="00F6294E" w:rsidRPr="00266BC7">
        <w:rPr>
          <w:rFonts w:eastAsia="Calibri"/>
          <w:sz w:val="22"/>
          <w:szCs w:val="22"/>
          <w:lang w:val="en-US"/>
        </w:rPr>
        <w:t>decision-making</w:t>
      </w:r>
      <w:r w:rsidRPr="009D56D3">
        <w:rPr>
          <w:rFonts w:eastAsia="Calibri"/>
          <w:sz w:val="22"/>
          <w:szCs w:val="22"/>
          <w:lang w:val="en-US"/>
        </w:rPr>
        <w:t xml:space="preserve"> quasi judiciary institutions have given their decisions "according to the Law." </w:t>
      </w: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lastRenderedPageBreak/>
        <w:t xml:space="preserve">This is done by the Court of </w:t>
      </w:r>
      <w:r w:rsidR="00A15D21" w:rsidRPr="00733F20">
        <w:rPr>
          <w:rFonts w:eastAsia="Calibri"/>
          <w:sz w:val="22"/>
          <w:szCs w:val="22"/>
          <w:lang w:val="en-US"/>
        </w:rPr>
        <w:t>Appeal by issuing writs namely Certiorari, Prohibition</w:t>
      </w:r>
      <w:r w:rsidR="00B75A20" w:rsidRPr="00733F20">
        <w:rPr>
          <w:rFonts w:eastAsia="Calibri"/>
          <w:sz w:val="22"/>
          <w:szCs w:val="22"/>
          <w:lang w:val="en-US"/>
        </w:rPr>
        <w:t>, Procedendo</w:t>
      </w:r>
      <w:r w:rsidR="00A15D21" w:rsidRPr="00733F20">
        <w:rPr>
          <w:rFonts w:eastAsia="Calibri"/>
          <w:sz w:val="22"/>
          <w:szCs w:val="22"/>
          <w:lang w:val="en-US"/>
        </w:rPr>
        <w:t>, Mandamus, and Q</w:t>
      </w:r>
      <w:r w:rsidRPr="00733F20">
        <w:rPr>
          <w:rFonts w:eastAsia="Calibri"/>
          <w:sz w:val="22"/>
          <w:szCs w:val="22"/>
          <w:lang w:val="en-US"/>
        </w:rPr>
        <w:t>uo-warronto. That means court of Appeal has full power to and authority to inspect and examine the records of inferior courts or institutes or persons who are engage</w:t>
      </w:r>
      <w:r w:rsidR="00F6294E" w:rsidRPr="00733F20">
        <w:rPr>
          <w:rFonts w:eastAsia="Calibri"/>
          <w:sz w:val="22"/>
          <w:szCs w:val="22"/>
          <w:lang w:val="en-US"/>
        </w:rPr>
        <w:t>d</w:t>
      </w:r>
      <w:r w:rsidRPr="00733F20">
        <w:rPr>
          <w:rFonts w:eastAsia="Calibri"/>
          <w:sz w:val="22"/>
          <w:szCs w:val="22"/>
          <w:lang w:val="en-US"/>
        </w:rPr>
        <w:t xml:space="preserve"> in that task. Then the question about above mentioned "according to the Law" arose and that was solved in two main cases, Abdul Thasim vs. Edmond Rodrigo</w:t>
      </w:r>
      <w:r w:rsidR="00F6294E" w:rsidRPr="00733F20">
        <w:rPr>
          <w:rFonts w:eastAsia="Calibri"/>
          <w:sz w:val="22"/>
          <w:szCs w:val="22"/>
          <w:lang w:val="en-US"/>
        </w:rPr>
        <w:t xml:space="preserve"> </w:t>
      </w:r>
      <w:r w:rsidRPr="00733F20">
        <w:rPr>
          <w:rFonts w:eastAsia="Calibri"/>
          <w:sz w:val="22"/>
          <w:szCs w:val="22"/>
          <w:lang w:val="en-US"/>
        </w:rPr>
        <w:t>(1947) and Nakkuda Ali vs.</w:t>
      </w:r>
      <w:r w:rsidR="00F6294E" w:rsidRPr="00733F20">
        <w:rPr>
          <w:rFonts w:eastAsia="Calibri"/>
          <w:sz w:val="22"/>
          <w:szCs w:val="22"/>
          <w:lang w:val="en-US"/>
        </w:rPr>
        <w:t xml:space="preserve"> </w:t>
      </w:r>
      <w:r w:rsidRPr="00733F20">
        <w:rPr>
          <w:rFonts w:eastAsia="Calibri"/>
          <w:sz w:val="22"/>
          <w:szCs w:val="22"/>
          <w:lang w:val="en-US"/>
        </w:rPr>
        <w:t>Jayarathna</w:t>
      </w:r>
      <w:r w:rsidR="00F6294E" w:rsidRPr="00733F20">
        <w:rPr>
          <w:rFonts w:eastAsia="Calibri"/>
          <w:sz w:val="22"/>
          <w:szCs w:val="22"/>
          <w:lang w:val="en-US"/>
        </w:rPr>
        <w:t xml:space="preserve"> </w:t>
      </w:r>
      <w:r w:rsidRPr="00733F20">
        <w:rPr>
          <w:rFonts w:eastAsia="Calibri"/>
          <w:sz w:val="22"/>
          <w:szCs w:val="22"/>
          <w:lang w:val="en-US"/>
        </w:rPr>
        <w:t xml:space="preserve">(1950). As per those two cases </w:t>
      </w:r>
      <w:r w:rsidR="003C030C" w:rsidRPr="00733F20">
        <w:rPr>
          <w:rFonts w:eastAsia="Calibri"/>
          <w:sz w:val="22"/>
          <w:szCs w:val="22"/>
          <w:lang w:val="en-US"/>
        </w:rPr>
        <w:t xml:space="preserve">cited </w:t>
      </w:r>
      <w:r w:rsidRPr="00733F20">
        <w:rPr>
          <w:rFonts w:eastAsia="Calibri"/>
          <w:sz w:val="22"/>
          <w:szCs w:val="22"/>
          <w:lang w:val="en-US"/>
        </w:rPr>
        <w:t>"according to the Law"</w:t>
      </w:r>
      <w:r w:rsidR="00F6294E" w:rsidRPr="00733F20">
        <w:rPr>
          <w:rFonts w:eastAsia="Calibri"/>
          <w:sz w:val="22"/>
          <w:szCs w:val="22"/>
          <w:lang w:val="en-US"/>
        </w:rPr>
        <w:t>,</w:t>
      </w:r>
      <w:r w:rsidRPr="00733F20">
        <w:rPr>
          <w:rFonts w:eastAsia="Calibri"/>
          <w:sz w:val="22"/>
          <w:szCs w:val="22"/>
          <w:lang w:val="en-US"/>
        </w:rPr>
        <w:t xml:space="preserve"> </w:t>
      </w:r>
      <w:r w:rsidR="007D0393" w:rsidRPr="00733F20">
        <w:rPr>
          <w:rFonts w:eastAsia="Calibri"/>
          <w:sz w:val="22"/>
          <w:szCs w:val="22"/>
          <w:lang w:val="en-US"/>
        </w:rPr>
        <w:t>the “Law”</w:t>
      </w:r>
      <w:r w:rsidRPr="00733F20">
        <w:rPr>
          <w:rFonts w:eastAsia="Calibri"/>
          <w:sz w:val="22"/>
          <w:szCs w:val="22"/>
          <w:lang w:val="en-US"/>
        </w:rPr>
        <w:t xml:space="preserve"> </w:t>
      </w:r>
      <w:r w:rsidR="007D0393" w:rsidRPr="00733F20">
        <w:rPr>
          <w:rFonts w:eastAsia="Calibri"/>
          <w:sz w:val="22"/>
          <w:szCs w:val="22"/>
          <w:lang w:val="en-US"/>
        </w:rPr>
        <w:t>signifies the</w:t>
      </w:r>
      <w:r w:rsidRPr="00733F20">
        <w:rPr>
          <w:rFonts w:eastAsia="Calibri"/>
          <w:sz w:val="22"/>
          <w:szCs w:val="22"/>
          <w:lang w:val="en-US"/>
        </w:rPr>
        <w:t xml:space="preserve"> English Law. </w:t>
      </w:r>
      <w:r w:rsidR="00A15D21" w:rsidRPr="00733F20">
        <w:rPr>
          <w:rFonts w:eastAsia="Calibri"/>
          <w:sz w:val="22"/>
          <w:szCs w:val="22"/>
          <w:lang w:val="en-US"/>
        </w:rPr>
        <w:t>Accordingly</w:t>
      </w:r>
      <w:r w:rsidR="00F6294E" w:rsidRPr="00733F20">
        <w:rPr>
          <w:rFonts w:eastAsia="Calibri"/>
          <w:sz w:val="22"/>
          <w:szCs w:val="22"/>
          <w:lang w:val="en-US"/>
        </w:rPr>
        <w:t>,</w:t>
      </w:r>
      <w:r w:rsidR="00A15D21" w:rsidRPr="00733F20">
        <w:rPr>
          <w:rFonts w:eastAsia="Calibri"/>
          <w:sz w:val="22"/>
          <w:szCs w:val="22"/>
          <w:lang w:val="en-US"/>
        </w:rPr>
        <w:t xml:space="preserve"> </w:t>
      </w:r>
      <w:r w:rsidRPr="00733F20">
        <w:rPr>
          <w:rFonts w:eastAsia="Calibri"/>
          <w:sz w:val="22"/>
          <w:szCs w:val="22"/>
          <w:lang w:val="en-US"/>
        </w:rPr>
        <w:t xml:space="preserve">the court </w:t>
      </w:r>
      <w:r w:rsidR="00A15D21" w:rsidRPr="00733F20">
        <w:rPr>
          <w:rFonts w:eastAsia="Calibri"/>
          <w:sz w:val="22"/>
          <w:szCs w:val="22"/>
          <w:lang w:val="en-US"/>
        </w:rPr>
        <w:t xml:space="preserve">was under the  responsibility of  issuing </w:t>
      </w:r>
      <w:r w:rsidRPr="00733F20">
        <w:rPr>
          <w:rFonts w:eastAsia="Calibri"/>
          <w:sz w:val="22"/>
          <w:szCs w:val="22"/>
          <w:lang w:val="en-US"/>
        </w:rPr>
        <w:t xml:space="preserve"> writs according to English Law.</w:t>
      </w:r>
    </w:p>
    <w:p w:rsidR="00EF00A0" w:rsidRPr="009D56D3"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The next turning point of writs deals with the Sri Lankan Constitute in 1978.</w:t>
      </w:r>
      <w:r w:rsidR="00F6294E" w:rsidRPr="00733F20">
        <w:rPr>
          <w:rFonts w:eastAsia="Calibri"/>
          <w:sz w:val="22"/>
          <w:szCs w:val="22"/>
          <w:lang w:val="en-US"/>
        </w:rPr>
        <w:t xml:space="preserve"> </w:t>
      </w:r>
      <w:r w:rsidRPr="00733F20">
        <w:rPr>
          <w:rFonts w:eastAsia="Calibri"/>
          <w:sz w:val="22"/>
          <w:szCs w:val="22"/>
          <w:lang w:val="en-US"/>
        </w:rPr>
        <w:t xml:space="preserve">It clearly provides provisions related to writs. Article 140 empowers the High court and article 154(P)4 empowers the Provincial High Court with the power to issue writs. </w:t>
      </w:r>
    </w:p>
    <w:p w:rsidR="00EF00A0" w:rsidRPr="00733F20" w:rsidRDefault="00EF00A0" w:rsidP="00701976">
      <w:pPr>
        <w:spacing w:after="0" w:line="240" w:lineRule="auto"/>
        <w:contextualSpacing w:val="0"/>
        <w:rPr>
          <w:rFonts w:eastAsia="Calibri"/>
          <w:sz w:val="22"/>
          <w:szCs w:val="22"/>
          <w:lang w:val="en-US"/>
        </w:rPr>
      </w:pPr>
    </w:p>
    <w:p w:rsidR="00EF00A0" w:rsidRPr="00733F20" w:rsidRDefault="007D0393" w:rsidP="00701976">
      <w:pPr>
        <w:spacing w:after="0" w:line="240" w:lineRule="auto"/>
        <w:contextualSpacing w:val="0"/>
        <w:rPr>
          <w:rFonts w:eastAsia="Calibri"/>
          <w:sz w:val="22"/>
          <w:szCs w:val="22"/>
          <w:u w:val="single"/>
          <w:lang w:val="en-US"/>
        </w:rPr>
      </w:pPr>
      <w:r w:rsidRPr="00733F20">
        <w:rPr>
          <w:rFonts w:eastAsia="Calibri"/>
          <w:sz w:val="22"/>
          <w:szCs w:val="22"/>
          <w:u w:val="single"/>
          <w:lang w:val="en-US"/>
        </w:rPr>
        <w:t xml:space="preserve">Development of </w:t>
      </w:r>
      <w:r w:rsidR="00EF00A0" w:rsidRPr="00733F20">
        <w:rPr>
          <w:rFonts w:eastAsia="Calibri"/>
          <w:sz w:val="22"/>
          <w:szCs w:val="22"/>
          <w:u w:val="single"/>
          <w:lang w:val="en-US"/>
        </w:rPr>
        <w:t>grounds of Judicial Review in Sri Lanka</w:t>
      </w:r>
    </w:p>
    <w:p w:rsidR="00EF00A0" w:rsidRPr="009D56D3" w:rsidRDefault="00EF00A0" w:rsidP="00701976">
      <w:pPr>
        <w:spacing w:after="0" w:line="240" w:lineRule="auto"/>
        <w:contextualSpacing w:val="0"/>
        <w:rPr>
          <w:rFonts w:eastAsia="Calibri"/>
          <w:sz w:val="22"/>
          <w:szCs w:val="22"/>
          <w:u w:val="single"/>
          <w:lang w:val="en-US"/>
        </w:rPr>
      </w:pPr>
    </w:p>
    <w:p w:rsidR="00EF00A0" w:rsidRPr="00733F20" w:rsidRDefault="00EF00A0" w:rsidP="00701976">
      <w:pPr>
        <w:numPr>
          <w:ilvl w:val="0"/>
          <w:numId w:val="11"/>
        </w:numPr>
        <w:spacing w:after="0" w:line="240" w:lineRule="auto"/>
        <w:contextualSpacing w:val="0"/>
        <w:rPr>
          <w:rFonts w:eastAsia="Calibri"/>
          <w:sz w:val="22"/>
          <w:szCs w:val="22"/>
          <w:lang w:val="en-US"/>
        </w:rPr>
      </w:pPr>
      <w:r w:rsidRPr="00733F20">
        <w:rPr>
          <w:rFonts w:eastAsia="Calibri"/>
          <w:sz w:val="22"/>
          <w:szCs w:val="22"/>
          <w:lang w:val="en-US"/>
        </w:rPr>
        <w:t>Public Trust and Public Interest Litigation.</w:t>
      </w:r>
    </w:p>
    <w:p w:rsidR="007D0393" w:rsidRPr="00733F20" w:rsidRDefault="007D0393" w:rsidP="00701976">
      <w:pPr>
        <w:spacing w:after="0" w:line="240" w:lineRule="auto"/>
        <w:ind w:left="1080"/>
        <w:contextualSpacing w:val="0"/>
        <w:rPr>
          <w:rFonts w:eastAsia="Calibri"/>
          <w:sz w:val="22"/>
          <w:szCs w:val="22"/>
          <w:lang w:val="en-US"/>
        </w:rPr>
      </w:pPr>
    </w:p>
    <w:p w:rsidR="00EF00A0" w:rsidRPr="009D56D3"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It is an accepted principle that the government hold</w:t>
      </w:r>
      <w:r w:rsidR="00F6294E" w:rsidRPr="00733F20">
        <w:rPr>
          <w:rFonts w:eastAsia="Calibri"/>
          <w:sz w:val="22"/>
          <w:szCs w:val="22"/>
          <w:lang w:val="en-US"/>
        </w:rPr>
        <w:t>s</w:t>
      </w:r>
      <w:r w:rsidRPr="00733F20">
        <w:rPr>
          <w:rFonts w:eastAsia="Calibri"/>
          <w:sz w:val="22"/>
          <w:szCs w:val="22"/>
          <w:lang w:val="en-US"/>
        </w:rPr>
        <w:t xml:space="preserve"> property as a public trust on behalf of all the citizens in that country. </w:t>
      </w:r>
      <w:r w:rsidR="00B75A20" w:rsidRPr="00733F20">
        <w:rPr>
          <w:rFonts w:eastAsia="Calibri"/>
          <w:sz w:val="22"/>
          <w:szCs w:val="22"/>
          <w:lang w:val="en-US"/>
        </w:rPr>
        <w:t>In Mundy</w:t>
      </w:r>
      <w:r w:rsidRPr="00733F20">
        <w:rPr>
          <w:kern w:val="36"/>
          <w:sz w:val="22"/>
          <w:szCs w:val="22"/>
          <w:lang w:val="en-US" w:bidi="ta-IN"/>
        </w:rPr>
        <w:t xml:space="preserve"> vs. Central Environmental Authority and others</w:t>
      </w:r>
      <w:r w:rsidRPr="00733F20">
        <w:rPr>
          <w:color w:val="444444"/>
          <w:kern w:val="36"/>
          <w:sz w:val="22"/>
          <w:szCs w:val="22"/>
          <w:lang w:val="en-US" w:bidi="ta-IN"/>
        </w:rPr>
        <w:t xml:space="preserve"> (2004)</w:t>
      </w:r>
      <w:r w:rsidRPr="00733F20">
        <w:rPr>
          <w:color w:val="444444"/>
          <w:sz w:val="22"/>
          <w:szCs w:val="22"/>
          <w:lang w:val="en-US" w:bidi="ta-IN"/>
        </w:rPr>
        <w:t xml:space="preserve"> </w:t>
      </w:r>
      <w:r w:rsidRPr="00733F20">
        <w:rPr>
          <w:sz w:val="22"/>
          <w:szCs w:val="22"/>
          <w:lang w:val="en-US" w:bidi="ta-IN"/>
        </w:rPr>
        <w:t>it has stated that "Administrative acts and decisions contrary to the "public trust" doctrine and/or violative of fundamental rights would be in excess or abuse of power, and therefore void or voidable."</w:t>
      </w: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 xml:space="preserve">In </w:t>
      </w:r>
      <w:r w:rsidR="00474151" w:rsidRPr="00733F20">
        <w:rPr>
          <w:sz w:val="22"/>
          <w:szCs w:val="22"/>
        </w:rPr>
        <w:t>Environmental Foundation Limited v</w:t>
      </w:r>
      <w:r w:rsidR="00E10450" w:rsidRPr="00733F20">
        <w:rPr>
          <w:sz w:val="22"/>
          <w:szCs w:val="22"/>
        </w:rPr>
        <w:t>s.</w:t>
      </w:r>
      <w:r w:rsidR="00474151" w:rsidRPr="00733F20">
        <w:rPr>
          <w:sz w:val="22"/>
          <w:szCs w:val="22"/>
        </w:rPr>
        <w:t xml:space="preserve"> Urban Development Authority (the Galle Face Green case) (2005)</w:t>
      </w:r>
      <w:r w:rsidRPr="00733F20">
        <w:rPr>
          <w:rFonts w:eastAsia="Calibri"/>
          <w:sz w:val="22"/>
          <w:szCs w:val="22"/>
          <w:lang w:val="en-US"/>
        </w:rPr>
        <w:t xml:space="preserve">, and </w:t>
      </w:r>
      <w:r w:rsidR="00A15D21" w:rsidRPr="00733F20">
        <w:rPr>
          <w:sz w:val="22"/>
          <w:szCs w:val="22"/>
        </w:rPr>
        <w:t>Sugathapala Mendis and Others v. C.B. Kumarathunga and others (Waters Edge Case) (2009)</w:t>
      </w:r>
      <w:r w:rsidR="00A15D21" w:rsidRPr="00733F20">
        <w:t xml:space="preserve"> </w:t>
      </w:r>
      <w:r w:rsidRPr="00733F20">
        <w:rPr>
          <w:rFonts w:eastAsia="Calibri"/>
          <w:sz w:val="22"/>
          <w:szCs w:val="22"/>
          <w:lang w:val="en-US"/>
        </w:rPr>
        <w:t>this concept</w:t>
      </w:r>
      <w:r w:rsidR="00BB3A48" w:rsidRPr="00733F20">
        <w:rPr>
          <w:rFonts w:eastAsia="Calibri"/>
          <w:sz w:val="22"/>
          <w:szCs w:val="22"/>
          <w:lang w:val="en-US"/>
        </w:rPr>
        <w:t xml:space="preserve"> is well applied.</w:t>
      </w:r>
      <w:r w:rsidRPr="00733F20">
        <w:rPr>
          <w:rFonts w:eastAsia="Calibri"/>
          <w:sz w:val="22"/>
          <w:szCs w:val="22"/>
          <w:lang w:val="en-US"/>
        </w:rPr>
        <w:t xml:space="preserve"> In former case Bennet Rathnayake vs. Sri Lanka Rupawahini Corporation</w:t>
      </w:r>
      <w:r w:rsidR="00E10450" w:rsidRPr="009D56D3">
        <w:rPr>
          <w:rFonts w:eastAsia="Calibri"/>
          <w:sz w:val="22"/>
          <w:szCs w:val="22"/>
          <w:lang w:val="en-US"/>
        </w:rPr>
        <w:t xml:space="preserve"> </w:t>
      </w:r>
      <w:r w:rsidRPr="009D56D3">
        <w:rPr>
          <w:rFonts w:eastAsia="Calibri"/>
          <w:sz w:val="22"/>
          <w:szCs w:val="22"/>
          <w:lang w:val="en-US"/>
        </w:rPr>
        <w:t>(1999) it is clearly stated that when it holds a trust for the public it has to be exercised for the benefit of the public. In Premachandra vs Major Montague Jayawickrama</w:t>
      </w:r>
      <w:r w:rsidR="00E10450" w:rsidRPr="00733F20">
        <w:rPr>
          <w:rFonts w:eastAsia="Calibri"/>
          <w:sz w:val="22"/>
          <w:szCs w:val="22"/>
          <w:lang w:val="en-US"/>
        </w:rPr>
        <w:t xml:space="preserve"> </w:t>
      </w:r>
      <w:r w:rsidRPr="00733F20">
        <w:rPr>
          <w:rFonts w:eastAsia="Calibri"/>
          <w:sz w:val="22"/>
          <w:szCs w:val="22"/>
          <w:lang w:val="en-US"/>
        </w:rPr>
        <w:t>(1993) the same idea is emphasized.</w:t>
      </w:r>
    </w:p>
    <w:p w:rsidR="00EF00A0" w:rsidRPr="00733F20" w:rsidRDefault="00EF00A0" w:rsidP="00701976">
      <w:pPr>
        <w:spacing w:after="0" w:line="240" w:lineRule="auto"/>
        <w:contextualSpacing w:val="0"/>
      </w:pPr>
      <w:r w:rsidRPr="00733F20">
        <w:rPr>
          <w:rFonts w:eastAsia="Calibri"/>
          <w:sz w:val="22"/>
          <w:szCs w:val="22"/>
          <w:lang w:val="en-US"/>
        </w:rPr>
        <w:t xml:space="preserve"> Public Interest Litigation discusses about standing and filing a case on behalf of the aggrieved party or a person is accepted by the court. Having special link with matter bringing to the court is not necessary to file this </w:t>
      </w:r>
      <w:r w:rsidR="001979F4" w:rsidRPr="00733F20">
        <w:rPr>
          <w:rFonts w:eastAsia="Calibri"/>
          <w:sz w:val="22"/>
          <w:szCs w:val="22"/>
          <w:lang w:val="en-US"/>
        </w:rPr>
        <w:t>type of case.</w:t>
      </w:r>
      <w:r w:rsidRPr="00733F20">
        <w:rPr>
          <w:rFonts w:eastAsia="Calibri"/>
          <w:sz w:val="22"/>
          <w:szCs w:val="22"/>
          <w:lang w:val="en-US"/>
        </w:rPr>
        <w:t xml:space="preserve"> In Bulankulama vs. Secretary, Ministry of Industrial Development</w:t>
      </w:r>
      <w:r w:rsidR="00E10450" w:rsidRPr="00733F20">
        <w:rPr>
          <w:rFonts w:eastAsia="Calibri"/>
          <w:sz w:val="22"/>
          <w:szCs w:val="22"/>
          <w:lang w:val="en-US"/>
        </w:rPr>
        <w:t xml:space="preserve"> </w:t>
      </w:r>
      <w:r w:rsidRPr="00733F20">
        <w:rPr>
          <w:rFonts w:eastAsia="Calibri"/>
          <w:sz w:val="22"/>
          <w:szCs w:val="22"/>
          <w:lang w:val="en-US"/>
        </w:rPr>
        <w:t>(2000) the respondents argued that this case has the nature of public interest litigation and according to our constitution there is no permission to file such kind of cases. But the court did not accept this and</w:t>
      </w:r>
      <w:r w:rsidR="001979F4" w:rsidRPr="00733F20">
        <w:rPr>
          <w:rFonts w:eastAsia="Calibri"/>
          <w:sz w:val="22"/>
          <w:szCs w:val="22"/>
          <w:lang w:val="en-US"/>
        </w:rPr>
        <w:t xml:space="preserve"> has paid </w:t>
      </w:r>
      <w:r w:rsidR="00B75A20" w:rsidRPr="00733F20">
        <w:rPr>
          <w:rFonts w:eastAsia="Calibri"/>
          <w:sz w:val="22"/>
          <w:szCs w:val="22"/>
          <w:lang w:val="en-US"/>
        </w:rPr>
        <w:t>its attention</w:t>
      </w:r>
      <w:r w:rsidRPr="00733F20">
        <w:rPr>
          <w:rFonts w:eastAsia="Calibri"/>
          <w:sz w:val="22"/>
          <w:szCs w:val="22"/>
          <w:lang w:val="en-US"/>
        </w:rPr>
        <w:t xml:space="preserve"> towards the rights of a common group, breached by the decision taken by the government. Here we have to concentrate on the prior decision taken by the court in Durayappa vs Fernando</w:t>
      </w:r>
      <w:r w:rsidR="00AB23E1" w:rsidRPr="00733F20">
        <w:rPr>
          <w:rFonts w:eastAsia="Calibri"/>
          <w:sz w:val="22"/>
          <w:szCs w:val="22"/>
          <w:lang w:val="en-US"/>
        </w:rPr>
        <w:t xml:space="preserve"> </w:t>
      </w:r>
      <w:r w:rsidRPr="00733F20">
        <w:rPr>
          <w:rFonts w:eastAsia="Calibri"/>
          <w:sz w:val="22"/>
          <w:szCs w:val="22"/>
          <w:lang w:val="en-US"/>
        </w:rPr>
        <w:t>(1969) about 'standing'. So the Bulankulama case is a very good example for the changing of the articulation of law towards right</w:t>
      </w:r>
      <w:r w:rsidR="00AB23E1" w:rsidRPr="00733F20">
        <w:rPr>
          <w:rFonts w:eastAsia="Calibri"/>
          <w:sz w:val="22"/>
          <w:szCs w:val="22"/>
          <w:lang w:val="en-US"/>
        </w:rPr>
        <w:t>s</w:t>
      </w:r>
      <w:r w:rsidRPr="00733F20">
        <w:rPr>
          <w:rFonts w:eastAsia="Calibri"/>
          <w:sz w:val="22"/>
          <w:szCs w:val="22"/>
          <w:lang w:val="en-US"/>
        </w:rPr>
        <w:t xml:space="preserve"> based approach through widening one of the </w:t>
      </w:r>
      <w:r w:rsidR="00B75A20" w:rsidRPr="00733F20">
        <w:rPr>
          <w:rFonts w:eastAsia="Calibri"/>
          <w:sz w:val="22"/>
          <w:szCs w:val="22"/>
          <w:lang w:val="en-US"/>
        </w:rPr>
        <w:t>bases</w:t>
      </w:r>
      <w:r w:rsidRPr="00733F20">
        <w:rPr>
          <w:rFonts w:eastAsia="Calibri"/>
          <w:sz w:val="22"/>
          <w:szCs w:val="22"/>
          <w:lang w:val="en-US"/>
        </w:rPr>
        <w:t xml:space="preserve"> of judicial review.</w:t>
      </w:r>
      <w:r w:rsidR="00827047" w:rsidRPr="00733F20">
        <w:t xml:space="preserve"> And </w:t>
      </w:r>
      <w:r w:rsidR="00827047" w:rsidRPr="00733F20">
        <w:rPr>
          <w:rFonts w:eastAsia="Calibri"/>
          <w:sz w:val="22"/>
          <w:szCs w:val="22"/>
          <w:lang w:val="en-US"/>
        </w:rPr>
        <w:t xml:space="preserve">Bulankulama case </w:t>
      </w:r>
      <w:r w:rsidR="00827047" w:rsidRPr="00733F20">
        <w:t xml:space="preserve">was the first case </w:t>
      </w:r>
      <w:r w:rsidR="00BB3A48" w:rsidRPr="00733F20">
        <w:t xml:space="preserve">which interpreted that sovereignty was </w:t>
      </w:r>
      <w:r w:rsidR="00827047" w:rsidRPr="00733F20">
        <w:t>born</w:t>
      </w:r>
      <w:r w:rsidR="00BB3A48" w:rsidRPr="00733F20">
        <w:t>e</w:t>
      </w:r>
      <w:r w:rsidR="00827047" w:rsidRPr="00733F20">
        <w:t xml:space="preserve"> by the public authorities for the sake of people and they are only temporary bearers of those powers. Therefore</w:t>
      </w:r>
      <w:r w:rsidR="00AB23E1" w:rsidRPr="00733F20">
        <w:t>,</w:t>
      </w:r>
      <w:r w:rsidR="00827047" w:rsidRPr="00733F20">
        <w:t xml:space="preserve"> such powers must be exercised for the </w:t>
      </w:r>
      <w:r w:rsidR="00AB23E1" w:rsidRPr="00733F20">
        <w:t>well-being</w:t>
      </w:r>
      <w:r w:rsidR="00827047" w:rsidRPr="00733F20">
        <w:t xml:space="preserve"> of the people.</w:t>
      </w:r>
    </w:p>
    <w:p w:rsidR="007D0393" w:rsidRPr="00733F20" w:rsidRDefault="007D0393" w:rsidP="00701976">
      <w:pPr>
        <w:spacing w:after="0" w:line="240" w:lineRule="auto"/>
        <w:contextualSpacing w:val="0"/>
        <w:rPr>
          <w:rFonts w:eastAsia="Calibri"/>
          <w:sz w:val="22"/>
          <w:szCs w:val="22"/>
          <w:lang w:val="en-US"/>
        </w:rPr>
      </w:pPr>
    </w:p>
    <w:p w:rsidR="00EF00A0" w:rsidRPr="00733F20" w:rsidRDefault="00EF00A0" w:rsidP="00701976">
      <w:pPr>
        <w:numPr>
          <w:ilvl w:val="0"/>
          <w:numId w:val="11"/>
        </w:numPr>
        <w:spacing w:after="0" w:line="240" w:lineRule="auto"/>
        <w:contextualSpacing w:val="0"/>
        <w:rPr>
          <w:rFonts w:eastAsia="Calibri"/>
          <w:sz w:val="22"/>
          <w:szCs w:val="22"/>
          <w:lang w:val="en-US"/>
        </w:rPr>
      </w:pPr>
      <w:r w:rsidRPr="00733F20">
        <w:rPr>
          <w:rFonts w:eastAsia="Calibri"/>
          <w:sz w:val="22"/>
          <w:szCs w:val="22"/>
          <w:lang w:val="en-US"/>
        </w:rPr>
        <w:t>Legitimate Expectation</w:t>
      </w:r>
    </w:p>
    <w:p w:rsidR="007D0393" w:rsidRPr="009D56D3" w:rsidRDefault="007D0393" w:rsidP="00701976">
      <w:pPr>
        <w:spacing w:after="0" w:line="240" w:lineRule="auto"/>
        <w:ind w:left="1080"/>
        <w:contextualSpacing w:val="0"/>
        <w:rPr>
          <w:rFonts w:eastAsia="Calibri"/>
          <w:sz w:val="22"/>
          <w:szCs w:val="22"/>
          <w:lang w:val="en-US"/>
        </w:rPr>
      </w:pP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In this</w:t>
      </w:r>
      <w:r w:rsidR="00673A3A" w:rsidRPr="00733F20">
        <w:rPr>
          <w:rFonts w:eastAsia="Calibri"/>
          <w:sz w:val="22"/>
          <w:szCs w:val="22"/>
          <w:lang w:val="en-US"/>
        </w:rPr>
        <w:t>,</w:t>
      </w:r>
      <w:r w:rsidRPr="00733F20">
        <w:rPr>
          <w:rFonts w:eastAsia="Calibri"/>
          <w:sz w:val="22"/>
          <w:szCs w:val="22"/>
          <w:lang w:val="en-US"/>
        </w:rPr>
        <w:t xml:space="preserve"> the court will seek if there is a breach of the reasonable expectation of a citizen by a decision of a public authority. Although this is considered as a ground for the judicial review legitimate expectation for unlawful past practice is not recognized by the judiciary. It was emphasized in Surani Sahabandu vs, Professor S Thilakarathne</w:t>
      </w:r>
      <w:r w:rsidR="00673A3A" w:rsidRPr="00733F20">
        <w:rPr>
          <w:rFonts w:eastAsia="Calibri"/>
          <w:sz w:val="22"/>
          <w:szCs w:val="22"/>
          <w:lang w:val="en-US"/>
        </w:rPr>
        <w:t xml:space="preserve"> </w:t>
      </w:r>
      <w:r w:rsidRPr="00733F20">
        <w:rPr>
          <w:rFonts w:eastAsia="Calibri"/>
          <w:sz w:val="22"/>
          <w:szCs w:val="22"/>
          <w:lang w:val="en-US"/>
        </w:rPr>
        <w:t xml:space="preserve">(1999). But </w:t>
      </w:r>
      <w:r w:rsidR="00673A3A" w:rsidRPr="00733F20">
        <w:rPr>
          <w:rFonts w:eastAsia="Calibri"/>
          <w:sz w:val="22"/>
          <w:szCs w:val="22"/>
          <w:lang w:val="en-US"/>
        </w:rPr>
        <w:t>o</w:t>
      </w:r>
      <w:r w:rsidRPr="00733F20">
        <w:rPr>
          <w:rFonts w:eastAsia="Calibri"/>
          <w:sz w:val="22"/>
          <w:szCs w:val="22"/>
          <w:lang w:val="en-US"/>
        </w:rPr>
        <w:t xml:space="preserve">n </w:t>
      </w:r>
      <w:r w:rsidR="00673A3A" w:rsidRPr="00733F20">
        <w:rPr>
          <w:rFonts w:eastAsia="Calibri"/>
          <w:sz w:val="22"/>
          <w:szCs w:val="22"/>
          <w:lang w:val="en-US"/>
        </w:rPr>
        <w:t xml:space="preserve">the </w:t>
      </w:r>
      <w:r w:rsidRPr="00733F20">
        <w:rPr>
          <w:rFonts w:eastAsia="Calibri"/>
          <w:sz w:val="22"/>
          <w:szCs w:val="22"/>
          <w:lang w:val="en-US"/>
        </w:rPr>
        <w:t>contrary</w:t>
      </w:r>
      <w:r w:rsidR="00673A3A" w:rsidRPr="00733F20">
        <w:rPr>
          <w:rFonts w:eastAsia="Calibri"/>
          <w:sz w:val="22"/>
          <w:szCs w:val="22"/>
          <w:lang w:val="en-US"/>
        </w:rPr>
        <w:t>,</w:t>
      </w:r>
      <w:r w:rsidRPr="00733F20">
        <w:rPr>
          <w:rFonts w:eastAsia="Calibri"/>
          <w:sz w:val="22"/>
          <w:szCs w:val="22"/>
          <w:lang w:val="en-US"/>
        </w:rPr>
        <w:t xml:space="preserve"> Piyadasa vs</w:t>
      </w:r>
      <w:r w:rsidR="00673A3A" w:rsidRPr="00733F20">
        <w:rPr>
          <w:rFonts w:eastAsia="Calibri"/>
          <w:sz w:val="22"/>
          <w:szCs w:val="22"/>
          <w:lang w:val="en-US"/>
        </w:rPr>
        <w:t>.</w:t>
      </w:r>
      <w:r w:rsidRPr="00733F20">
        <w:rPr>
          <w:rFonts w:eastAsia="Calibri"/>
          <w:sz w:val="22"/>
          <w:szCs w:val="22"/>
          <w:lang w:val="en-US"/>
        </w:rPr>
        <w:t xml:space="preserve"> Land Reform Commission</w:t>
      </w:r>
      <w:r w:rsidR="00673A3A" w:rsidRPr="00733F20">
        <w:rPr>
          <w:rFonts w:eastAsia="Calibri"/>
          <w:sz w:val="22"/>
          <w:szCs w:val="22"/>
          <w:lang w:val="en-US"/>
        </w:rPr>
        <w:t xml:space="preserve"> </w:t>
      </w:r>
      <w:r w:rsidRPr="00733F20">
        <w:rPr>
          <w:rFonts w:eastAsia="Calibri"/>
          <w:sz w:val="22"/>
          <w:szCs w:val="22"/>
          <w:lang w:val="en-US"/>
        </w:rPr>
        <w:t xml:space="preserve">(1998) the court has proclaimed when there is accepted process and it must be </w:t>
      </w:r>
      <w:r w:rsidR="000C265C">
        <w:rPr>
          <w:rFonts w:eastAsia="Calibri"/>
          <w:sz w:val="22"/>
          <w:szCs w:val="22"/>
          <w:lang w:val="en-US"/>
        </w:rPr>
        <w:t>preceded</w:t>
      </w:r>
      <w:r w:rsidRPr="00733F20">
        <w:rPr>
          <w:rFonts w:eastAsia="Calibri"/>
          <w:sz w:val="22"/>
          <w:szCs w:val="22"/>
          <w:lang w:val="en-US"/>
        </w:rPr>
        <w:t xml:space="preserve"> without any unfair, unjust procedure. And if the public authority has not followed that process there is a violation of legitimate expectation of the public. Similarly</w:t>
      </w:r>
      <w:r w:rsidR="00673A3A" w:rsidRPr="00733F20">
        <w:rPr>
          <w:rFonts w:eastAsia="Calibri"/>
          <w:sz w:val="22"/>
          <w:szCs w:val="22"/>
          <w:lang w:val="en-US"/>
        </w:rPr>
        <w:t>,</w:t>
      </w:r>
      <w:r w:rsidRPr="00733F20">
        <w:rPr>
          <w:rFonts w:eastAsia="Calibri"/>
          <w:sz w:val="22"/>
          <w:szCs w:val="22"/>
          <w:lang w:val="en-US"/>
        </w:rPr>
        <w:t xml:space="preserve"> it was decided in Dayarathna vs. Minister of Health</w:t>
      </w:r>
      <w:r w:rsidR="00673A3A" w:rsidRPr="00733F20">
        <w:rPr>
          <w:rFonts w:eastAsia="Calibri"/>
          <w:sz w:val="22"/>
          <w:szCs w:val="22"/>
          <w:lang w:val="en-US"/>
        </w:rPr>
        <w:t xml:space="preserve"> </w:t>
      </w:r>
      <w:r w:rsidRPr="00733F20">
        <w:rPr>
          <w:rFonts w:eastAsia="Calibri"/>
          <w:sz w:val="22"/>
          <w:szCs w:val="22"/>
          <w:lang w:val="en-US"/>
        </w:rPr>
        <w:t xml:space="preserve">(1999) that </w:t>
      </w:r>
      <w:r w:rsidR="00673A3A" w:rsidRPr="00733F20">
        <w:rPr>
          <w:rFonts w:eastAsia="Calibri"/>
          <w:sz w:val="22"/>
          <w:szCs w:val="22"/>
          <w:lang w:val="en-US"/>
        </w:rPr>
        <w:t xml:space="preserve">abruptly </w:t>
      </w:r>
      <w:r w:rsidRPr="00733F20">
        <w:rPr>
          <w:rFonts w:eastAsia="Calibri"/>
          <w:sz w:val="22"/>
          <w:szCs w:val="22"/>
          <w:lang w:val="en-US"/>
        </w:rPr>
        <w:t xml:space="preserve">changing the accepted policy is a violation of the legitimate expectation of the ones who made </w:t>
      </w:r>
      <w:r w:rsidRPr="00733F20">
        <w:rPr>
          <w:rFonts w:eastAsia="Calibri"/>
          <w:sz w:val="22"/>
          <w:szCs w:val="22"/>
          <w:lang w:val="en-US"/>
        </w:rPr>
        <w:lastRenderedPageBreak/>
        <w:t>trust on the prior policy.</w:t>
      </w:r>
      <w:r w:rsidR="00673A3A" w:rsidRPr="00733F20">
        <w:rPr>
          <w:rFonts w:eastAsia="Calibri"/>
          <w:sz w:val="22"/>
          <w:szCs w:val="22"/>
          <w:lang w:val="en-US"/>
        </w:rPr>
        <w:t xml:space="preserve"> </w:t>
      </w:r>
      <w:r w:rsidR="000C1FE1" w:rsidRPr="00733F20">
        <w:rPr>
          <w:rFonts w:eastAsia="Calibri"/>
          <w:sz w:val="22"/>
          <w:szCs w:val="22"/>
          <w:lang w:val="en-US"/>
        </w:rPr>
        <w:t>Therefore</w:t>
      </w:r>
      <w:r w:rsidR="00673A3A" w:rsidRPr="00733F20">
        <w:rPr>
          <w:rFonts w:eastAsia="Calibri"/>
          <w:sz w:val="22"/>
          <w:szCs w:val="22"/>
          <w:lang w:val="en-US"/>
        </w:rPr>
        <w:t xml:space="preserve">, </w:t>
      </w:r>
      <w:r w:rsidRPr="00733F20">
        <w:rPr>
          <w:rFonts w:eastAsia="Calibri"/>
          <w:sz w:val="22"/>
          <w:szCs w:val="22"/>
          <w:lang w:val="en-US"/>
        </w:rPr>
        <w:t>the Judiciary has always given the priority to the legal legitimate expectations of the people as a ground of judicial review.</w:t>
      </w:r>
    </w:p>
    <w:p w:rsidR="00EF00A0" w:rsidRPr="00733F20" w:rsidRDefault="00EF00A0" w:rsidP="00701976">
      <w:pPr>
        <w:spacing w:after="0" w:line="240" w:lineRule="auto"/>
        <w:contextualSpacing w:val="0"/>
        <w:rPr>
          <w:rFonts w:eastAsia="Calibri"/>
          <w:sz w:val="22"/>
          <w:szCs w:val="22"/>
          <w:lang w:val="en-US"/>
        </w:rPr>
      </w:pPr>
    </w:p>
    <w:p w:rsidR="00EF00A0" w:rsidRPr="00733F20" w:rsidRDefault="00EF00A0" w:rsidP="00701976">
      <w:pPr>
        <w:numPr>
          <w:ilvl w:val="0"/>
          <w:numId w:val="11"/>
        </w:numPr>
        <w:spacing w:after="0" w:line="240" w:lineRule="auto"/>
        <w:contextualSpacing w:val="0"/>
        <w:rPr>
          <w:rFonts w:eastAsia="Calibri"/>
          <w:sz w:val="22"/>
          <w:szCs w:val="22"/>
          <w:lang w:val="en-US"/>
        </w:rPr>
      </w:pPr>
      <w:r w:rsidRPr="00733F20">
        <w:rPr>
          <w:rFonts w:eastAsia="Calibri"/>
          <w:sz w:val="22"/>
          <w:szCs w:val="22"/>
          <w:lang w:val="en-US"/>
        </w:rPr>
        <w:t>Proportionality</w:t>
      </w:r>
    </w:p>
    <w:p w:rsidR="007D0393" w:rsidRPr="00733F20" w:rsidRDefault="007D0393" w:rsidP="00701976">
      <w:pPr>
        <w:spacing w:after="0" w:line="240" w:lineRule="auto"/>
        <w:ind w:left="1080"/>
        <w:contextualSpacing w:val="0"/>
        <w:rPr>
          <w:rFonts w:eastAsia="Calibri"/>
          <w:sz w:val="22"/>
          <w:szCs w:val="22"/>
          <w:lang w:val="en-US"/>
        </w:rPr>
      </w:pP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Lord Diplock in R vs. Goldsmith has stated "You must not use a steam hammer to crack a nut if a nut cracker would do"</w:t>
      </w:r>
      <w:r w:rsidR="00AA5E5F" w:rsidRPr="00733F20">
        <w:rPr>
          <w:rFonts w:eastAsia="Calibri"/>
          <w:sz w:val="22"/>
          <w:szCs w:val="22"/>
          <w:lang w:val="en-US"/>
        </w:rPr>
        <w:t xml:space="preserve"> </w:t>
      </w: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As this statement correctly spells out</w:t>
      </w:r>
      <w:r w:rsidR="00AA5E5F" w:rsidRPr="00733F20">
        <w:rPr>
          <w:rFonts w:eastAsia="Calibri"/>
          <w:sz w:val="22"/>
          <w:szCs w:val="22"/>
          <w:lang w:val="en-US"/>
        </w:rPr>
        <w:t>, the</w:t>
      </w:r>
      <w:r w:rsidRPr="00733F20">
        <w:rPr>
          <w:rFonts w:eastAsia="Calibri"/>
          <w:sz w:val="22"/>
          <w:szCs w:val="22"/>
          <w:lang w:val="en-US"/>
        </w:rPr>
        <w:t xml:space="preserve"> decision maker should not use the discretionary power in an excessive way in decision making. In Premarathne vs. University Grants Commission</w:t>
      </w:r>
      <w:r w:rsidR="00AA5E5F" w:rsidRPr="00733F20">
        <w:rPr>
          <w:rFonts w:eastAsia="Calibri"/>
          <w:sz w:val="22"/>
          <w:szCs w:val="22"/>
          <w:lang w:val="en-US"/>
        </w:rPr>
        <w:t xml:space="preserve"> </w:t>
      </w:r>
      <w:r w:rsidRPr="00733F20">
        <w:rPr>
          <w:rFonts w:eastAsia="Calibri"/>
          <w:sz w:val="22"/>
          <w:szCs w:val="22"/>
          <w:lang w:val="en-US"/>
        </w:rPr>
        <w:t xml:space="preserve">(1993) the idea of proportionality between the offence and punishment is highlighted. </w:t>
      </w:r>
      <w:r w:rsidR="00AA5E5F" w:rsidRPr="00733F20">
        <w:rPr>
          <w:rFonts w:eastAsia="Calibri"/>
          <w:sz w:val="22"/>
          <w:szCs w:val="22"/>
          <w:lang w:val="en-US"/>
        </w:rPr>
        <w:t>A</w:t>
      </w:r>
      <w:r w:rsidRPr="00733F20">
        <w:rPr>
          <w:rFonts w:eastAsia="Calibri"/>
          <w:sz w:val="22"/>
          <w:szCs w:val="22"/>
          <w:lang w:val="en-US"/>
        </w:rPr>
        <w:t xml:space="preserve">gain in Caldera vs. University </w:t>
      </w:r>
      <w:r w:rsidR="00C26706" w:rsidRPr="00733F20">
        <w:rPr>
          <w:rFonts w:eastAsia="Calibri"/>
          <w:sz w:val="22"/>
          <w:szCs w:val="22"/>
          <w:lang w:val="en-US"/>
        </w:rPr>
        <w:t xml:space="preserve">of </w:t>
      </w:r>
      <w:r w:rsidR="00C26706">
        <w:rPr>
          <w:rFonts w:eastAsia="Calibri"/>
          <w:sz w:val="22"/>
          <w:szCs w:val="22"/>
          <w:lang w:val="en-US"/>
        </w:rPr>
        <w:t>Peradeniya</w:t>
      </w:r>
      <w:r w:rsidR="00AA5E5F" w:rsidRPr="00733F20">
        <w:rPr>
          <w:rFonts w:eastAsia="Calibri"/>
          <w:sz w:val="22"/>
          <w:szCs w:val="22"/>
          <w:lang w:val="en-US"/>
        </w:rPr>
        <w:t xml:space="preserve"> </w:t>
      </w:r>
      <w:r w:rsidRPr="00733F20">
        <w:rPr>
          <w:rFonts w:eastAsia="Calibri"/>
          <w:sz w:val="22"/>
          <w:szCs w:val="22"/>
          <w:lang w:val="en-US"/>
        </w:rPr>
        <w:t>(2004) on the basis of the gravity of the offence the given punishment to suspend the studentship for three years was reduced to one year.</w:t>
      </w:r>
      <w:r w:rsidR="00AA5E5F" w:rsidRPr="00733F20">
        <w:rPr>
          <w:rFonts w:eastAsia="Calibri"/>
          <w:sz w:val="22"/>
          <w:szCs w:val="22"/>
          <w:lang w:val="en-US"/>
        </w:rPr>
        <w:t xml:space="preserve"> </w:t>
      </w:r>
      <w:r w:rsidRPr="00733F20">
        <w:rPr>
          <w:rFonts w:eastAsia="Calibri"/>
          <w:sz w:val="22"/>
          <w:szCs w:val="22"/>
          <w:lang w:val="en-US"/>
        </w:rPr>
        <w:t>In Premawathie vs Fowzie</w:t>
      </w:r>
      <w:r w:rsidR="00AA5E5F" w:rsidRPr="00733F20">
        <w:rPr>
          <w:rFonts w:eastAsia="Calibri"/>
          <w:sz w:val="22"/>
          <w:szCs w:val="22"/>
          <w:lang w:val="en-US"/>
        </w:rPr>
        <w:t xml:space="preserve"> </w:t>
      </w:r>
      <w:r w:rsidRPr="00733F20">
        <w:rPr>
          <w:rFonts w:eastAsia="Calibri"/>
          <w:sz w:val="22"/>
          <w:szCs w:val="22"/>
          <w:lang w:val="en-US"/>
        </w:rPr>
        <w:t>(1998) it was decided that the punishment was disproportional. In recent cases like Niendra Fernando vs. Ceylon Tourist Board (2002) Justice Gunawardhana has stated</w:t>
      </w:r>
      <w:r w:rsidR="00AA5E5F" w:rsidRPr="00733F20">
        <w:rPr>
          <w:rFonts w:eastAsia="Calibri"/>
          <w:sz w:val="22"/>
          <w:szCs w:val="22"/>
          <w:lang w:val="en-US"/>
        </w:rPr>
        <w:t xml:space="preserve"> </w:t>
      </w:r>
      <w:r w:rsidRPr="00733F20">
        <w:rPr>
          <w:rFonts w:eastAsia="Calibri"/>
          <w:sz w:val="22"/>
          <w:szCs w:val="22"/>
          <w:lang w:val="en-US"/>
        </w:rPr>
        <w:t>"</w:t>
      </w:r>
      <w:r w:rsidR="00AA5E5F" w:rsidRPr="00733F20">
        <w:rPr>
          <w:rFonts w:eastAsia="Calibri"/>
          <w:sz w:val="22"/>
          <w:szCs w:val="22"/>
          <w:lang w:val="en-US"/>
        </w:rPr>
        <w:t>..</w:t>
      </w:r>
      <w:r w:rsidRPr="00733F20">
        <w:rPr>
          <w:rFonts w:eastAsia="Calibri"/>
          <w:sz w:val="22"/>
          <w:szCs w:val="22"/>
          <w:lang w:val="en-US"/>
        </w:rPr>
        <w:t>.there has been and remains some uncertainty as to the extent to which the notion of 'proportionality' may or should be considered to be a ground of review."  More similarly in N.V.Gunarathna vs. Sri Lanka Land Reclamation and Development Corporation and others</w:t>
      </w:r>
      <w:r w:rsidR="0034382A" w:rsidRPr="00733F20">
        <w:rPr>
          <w:rFonts w:eastAsia="Calibri"/>
          <w:sz w:val="22"/>
          <w:szCs w:val="22"/>
          <w:lang w:val="en-US"/>
        </w:rPr>
        <w:t xml:space="preserve"> </w:t>
      </w:r>
      <w:r w:rsidRPr="00733F20">
        <w:rPr>
          <w:rFonts w:eastAsia="Calibri"/>
          <w:sz w:val="22"/>
          <w:szCs w:val="22"/>
          <w:lang w:val="en-US"/>
        </w:rPr>
        <w:t>(2007) Justice Anil Gunarathne has accepted this as a ground of judicial review by stating</w:t>
      </w:r>
      <w:r w:rsidR="0034382A" w:rsidRPr="00733F20">
        <w:rPr>
          <w:rFonts w:eastAsia="Calibri"/>
          <w:sz w:val="22"/>
          <w:szCs w:val="22"/>
          <w:lang w:val="en-US"/>
        </w:rPr>
        <w:t xml:space="preserve"> </w:t>
      </w:r>
      <w:r w:rsidRPr="00733F20">
        <w:rPr>
          <w:rFonts w:eastAsia="Calibri"/>
          <w:sz w:val="22"/>
          <w:szCs w:val="22"/>
          <w:lang w:val="en-US"/>
        </w:rPr>
        <w:t xml:space="preserve">" </w:t>
      </w:r>
      <w:r w:rsidR="0034382A" w:rsidRPr="00733F20">
        <w:rPr>
          <w:rFonts w:eastAsia="Calibri"/>
          <w:sz w:val="22"/>
          <w:szCs w:val="22"/>
          <w:lang w:val="en-US"/>
        </w:rPr>
        <w:t>.</w:t>
      </w:r>
      <w:r w:rsidRPr="00733F20">
        <w:rPr>
          <w:rFonts w:eastAsia="Calibri"/>
          <w:sz w:val="22"/>
          <w:szCs w:val="22"/>
          <w:lang w:val="en-US"/>
        </w:rPr>
        <w:t>..the petitioner's submission on proportionality is a recognized principle in Administrative Law…………"</w:t>
      </w: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In many fundamental rights cases this ground is used very progressively to examine whether the public body has taken the decision in the right manner.</w:t>
      </w:r>
      <w:r w:rsidR="0034382A" w:rsidRPr="00733F20">
        <w:rPr>
          <w:rFonts w:eastAsia="Calibri"/>
          <w:sz w:val="22"/>
          <w:szCs w:val="22"/>
          <w:lang w:val="en-US"/>
        </w:rPr>
        <w:t xml:space="preserve"> Thus, </w:t>
      </w:r>
      <w:r w:rsidRPr="00733F20">
        <w:rPr>
          <w:rFonts w:eastAsia="Calibri"/>
          <w:sz w:val="22"/>
          <w:szCs w:val="22"/>
          <w:lang w:val="en-US"/>
        </w:rPr>
        <w:t>this is a developing ground of judicial review as  Justice Anil Gunarathne stated in above case.</w:t>
      </w:r>
    </w:p>
    <w:p w:rsidR="00EF00A0" w:rsidRPr="00733F20" w:rsidRDefault="00EF00A0" w:rsidP="00701976">
      <w:pPr>
        <w:spacing w:after="0" w:line="240" w:lineRule="auto"/>
        <w:contextualSpacing w:val="0"/>
        <w:rPr>
          <w:rFonts w:eastAsia="Calibri"/>
          <w:sz w:val="22"/>
          <w:szCs w:val="22"/>
          <w:lang w:val="en-US"/>
        </w:rPr>
      </w:pPr>
    </w:p>
    <w:p w:rsidR="00EF00A0" w:rsidRPr="00733F20" w:rsidRDefault="00EF00A0" w:rsidP="00701976">
      <w:pPr>
        <w:numPr>
          <w:ilvl w:val="0"/>
          <w:numId w:val="11"/>
        </w:numPr>
        <w:spacing w:after="0" w:line="240" w:lineRule="auto"/>
        <w:contextualSpacing w:val="0"/>
        <w:rPr>
          <w:rFonts w:eastAsia="Calibri"/>
          <w:sz w:val="22"/>
          <w:szCs w:val="22"/>
          <w:lang w:val="en-US"/>
        </w:rPr>
      </w:pPr>
      <w:r w:rsidRPr="00733F20">
        <w:rPr>
          <w:rFonts w:eastAsia="Calibri"/>
          <w:sz w:val="22"/>
          <w:szCs w:val="22"/>
          <w:lang w:val="en-US"/>
        </w:rPr>
        <w:t xml:space="preserve"> Natural Justice</w:t>
      </w:r>
    </w:p>
    <w:p w:rsidR="007D0393" w:rsidRPr="00733F20" w:rsidRDefault="007D0393" w:rsidP="00701976">
      <w:pPr>
        <w:spacing w:after="0" w:line="240" w:lineRule="auto"/>
        <w:ind w:left="1080"/>
        <w:contextualSpacing w:val="0"/>
        <w:rPr>
          <w:rFonts w:eastAsia="Calibri"/>
          <w:sz w:val="22"/>
          <w:szCs w:val="22"/>
          <w:lang w:val="en-US"/>
        </w:rPr>
      </w:pP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 xml:space="preserve">This is related with the procedural fairness. </w:t>
      </w:r>
      <w:r w:rsidR="00C26706" w:rsidRPr="00733F20">
        <w:rPr>
          <w:rFonts w:eastAsia="Calibri"/>
          <w:sz w:val="22"/>
          <w:szCs w:val="22"/>
          <w:lang w:val="en-US"/>
        </w:rPr>
        <w:t>“Audi</w:t>
      </w:r>
      <w:r w:rsidRPr="00733F20">
        <w:rPr>
          <w:sz w:val="22"/>
          <w:szCs w:val="22"/>
          <w:lang w:val="en-US" w:bidi="ta-IN"/>
        </w:rPr>
        <w:t xml:space="preserve"> alteram partem rule</w:t>
      </w:r>
      <w:r w:rsidRPr="00733F20">
        <w:rPr>
          <w:rFonts w:eastAsia="Calibri"/>
          <w:sz w:val="22"/>
          <w:szCs w:val="22"/>
          <w:lang w:val="en-US"/>
        </w:rPr>
        <w:t>" must be applied there.</w:t>
      </w:r>
      <w:r w:rsidRPr="00733F20">
        <w:rPr>
          <w:color w:val="444444"/>
          <w:sz w:val="22"/>
          <w:szCs w:val="22"/>
          <w:lang w:val="en-US" w:bidi="ta-IN"/>
        </w:rPr>
        <w:t xml:space="preserve"> </w:t>
      </w:r>
      <w:r w:rsidRPr="00733F20">
        <w:rPr>
          <w:rFonts w:eastAsia="Calibri"/>
          <w:sz w:val="22"/>
          <w:szCs w:val="22"/>
          <w:lang w:val="en-US"/>
        </w:rPr>
        <w:t>In the history of Sri Lankan judiciary former cases like Nakkuda Ali vs. Jayarathne</w:t>
      </w:r>
      <w:r w:rsidR="00F8566C" w:rsidRPr="00733F20">
        <w:rPr>
          <w:rFonts w:eastAsia="Calibri"/>
          <w:sz w:val="22"/>
          <w:szCs w:val="22"/>
          <w:lang w:val="en-US"/>
        </w:rPr>
        <w:t xml:space="preserve"> </w:t>
      </w:r>
      <w:r w:rsidRPr="00733F20">
        <w:rPr>
          <w:rFonts w:eastAsia="Calibri"/>
          <w:sz w:val="22"/>
          <w:szCs w:val="22"/>
          <w:lang w:val="en-US"/>
        </w:rPr>
        <w:t>(1951),</w:t>
      </w:r>
      <w:r w:rsidR="00F8566C" w:rsidRPr="00733F20">
        <w:rPr>
          <w:rFonts w:eastAsia="Calibri"/>
          <w:sz w:val="22"/>
          <w:szCs w:val="22"/>
          <w:lang w:val="en-US"/>
        </w:rPr>
        <w:t xml:space="preserve"> </w:t>
      </w:r>
      <w:r w:rsidRPr="00733F20">
        <w:rPr>
          <w:rFonts w:eastAsia="Calibri"/>
          <w:sz w:val="22"/>
          <w:szCs w:val="22"/>
          <w:lang w:val="en-US"/>
        </w:rPr>
        <w:t>Hassan vs. Controller of Imports</w:t>
      </w:r>
      <w:r w:rsidR="00F8566C" w:rsidRPr="00733F20">
        <w:rPr>
          <w:rFonts w:eastAsia="Calibri"/>
          <w:sz w:val="22"/>
          <w:szCs w:val="22"/>
          <w:lang w:val="en-US"/>
        </w:rPr>
        <w:t xml:space="preserve"> </w:t>
      </w:r>
      <w:r w:rsidRPr="00733F20">
        <w:rPr>
          <w:rFonts w:eastAsia="Calibri"/>
          <w:sz w:val="22"/>
          <w:szCs w:val="22"/>
          <w:lang w:val="en-US"/>
        </w:rPr>
        <w:t>(1967),</w:t>
      </w:r>
      <w:r w:rsidR="00F8566C" w:rsidRPr="00733F20">
        <w:rPr>
          <w:rFonts w:eastAsia="Calibri"/>
          <w:sz w:val="22"/>
          <w:szCs w:val="22"/>
          <w:lang w:val="en-US"/>
        </w:rPr>
        <w:t xml:space="preserve"> </w:t>
      </w:r>
      <w:r w:rsidRPr="00733F20">
        <w:rPr>
          <w:rFonts w:eastAsia="Calibri"/>
          <w:sz w:val="22"/>
          <w:szCs w:val="22"/>
          <w:lang w:val="en-US"/>
        </w:rPr>
        <w:t>Fernando vs Jayarathne</w:t>
      </w:r>
      <w:r w:rsidR="00F8566C" w:rsidRPr="00733F20">
        <w:rPr>
          <w:rFonts w:eastAsia="Calibri"/>
          <w:sz w:val="22"/>
          <w:szCs w:val="22"/>
          <w:lang w:val="en-US"/>
        </w:rPr>
        <w:t xml:space="preserve"> </w:t>
      </w:r>
      <w:r w:rsidRPr="00733F20">
        <w:rPr>
          <w:rFonts w:eastAsia="Calibri"/>
          <w:sz w:val="22"/>
          <w:szCs w:val="22"/>
          <w:lang w:val="en-US"/>
        </w:rPr>
        <w:t>(1974), it was decided natural justice is a very narrow way.</w:t>
      </w:r>
      <w:r w:rsidR="00F8566C" w:rsidRPr="00733F20">
        <w:rPr>
          <w:rFonts w:eastAsia="Calibri"/>
          <w:sz w:val="22"/>
          <w:szCs w:val="22"/>
          <w:lang w:val="en-US"/>
        </w:rPr>
        <w:t xml:space="preserve"> </w:t>
      </w:r>
      <w:r w:rsidRPr="00733F20">
        <w:rPr>
          <w:rFonts w:eastAsia="Calibri"/>
          <w:sz w:val="22"/>
          <w:szCs w:val="22"/>
          <w:lang w:val="en-US"/>
        </w:rPr>
        <w:t>In first two cases</w:t>
      </w:r>
      <w:r w:rsidR="00E21066" w:rsidRPr="00733F20">
        <w:rPr>
          <w:rFonts w:eastAsia="Calibri"/>
          <w:sz w:val="22"/>
          <w:szCs w:val="22"/>
          <w:lang w:val="en-US"/>
        </w:rPr>
        <w:t>,</w:t>
      </w:r>
      <w:r w:rsidRPr="00733F20">
        <w:rPr>
          <w:rFonts w:eastAsia="Calibri"/>
          <w:sz w:val="22"/>
          <w:szCs w:val="22"/>
          <w:lang w:val="en-US"/>
        </w:rPr>
        <w:t xml:space="preserve"> decision was </w:t>
      </w:r>
      <w:r w:rsidR="00E21066" w:rsidRPr="00733F20">
        <w:rPr>
          <w:rFonts w:eastAsia="Calibri"/>
          <w:sz w:val="22"/>
          <w:szCs w:val="22"/>
          <w:lang w:val="en-US"/>
        </w:rPr>
        <w:t xml:space="preserve">that </w:t>
      </w:r>
      <w:r w:rsidRPr="00733F20">
        <w:rPr>
          <w:rFonts w:eastAsia="Calibri"/>
          <w:sz w:val="22"/>
          <w:szCs w:val="22"/>
          <w:lang w:val="en-US"/>
        </w:rPr>
        <w:t>only the judiciary or quasi judiciary bodies have the responsibility to follow natural justice. But this narrow view of judiciary has widened by series of cases like Dissanayake vs. Kaleel</w:t>
      </w:r>
      <w:r w:rsidR="00E21066" w:rsidRPr="00733F20">
        <w:rPr>
          <w:rFonts w:eastAsia="Calibri"/>
          <w:sz w:val="22"/>
          <w:szCs w:val="22"/>
          <w:lang w:val="en-US"/>
        </w:rPr>
        <w:t xml:space="preserve"> </w:t>
      </w:r>
      <w:r w:rsidRPr="00733F20">
        <w:rPr>
          <w:rFonts w:eastAsia="Calibri"/>
          <w:sz w:val="22"/>
          <w:szCs w:val="22"/>
          <w:lang w:val="en-US"/>
        </w:rPr>
        <w:t>(1993),</w:t>
      </w:r>
      <w:r w:rsidR="00E21066" w:rsidRPr="00733F20">
        <w:rPr>
          <w:rFonts w:eastAsia="Calibri"/>
          <w:sz w:val="22"/>
          <w:szCs w:val="22"/>
          <w:lang w:val="en-US"/>
        </w:rPr>
        <w:t xml:space="preserve"> </w:t>
      </w:r>
      <w:r w:rsidRPr="00733F20">
        <w:rPr>
          <w:rFonts w:eastAsia="Calibri"/>
          <w:sz w:val="22"/>
          <w:szCs w:val="22"/>
          <w:lang w:val="en-US"/>
        </w:rPr>
        <w:t>Nanayakkara vs.  University of Peradeniya</w:t>
      </w:r>
      <w:r w:rsidR="00E21066" w:rsidRPr="00733F20">
        <w:rPr>
          <w:rFonts w:eastAsia="Calibri"/>
          <w:sz w:val="22"/>
          <w:szCs w:val="22"/>
          <w:lang w:val="en-US"/>
        </w:rPr>
        <w:t xml:space="preserve"> </w:t>
      </w:r>
      <w:r w:rsidRPr="00733F20">
        <w:rPr>
          <w:rFonts w:eastAsia="Calibri"/>
          <w:sz w:val="22"/>
          <w:szCs w:val="22"/>
          <w:lang w:val="en-US"/>
        </w:rPr>
        <w:t>(1985) and Amarasinghe vs.</w:t>
      </w:r>
      <w:r w:rsidR="00E21066" w:rsidRPr="00733F20">
        <w:rPr>
          <w:rFonts w:eastAsia="Calibri"/>
          <w:sz w:val="22"/>
          <w:szCs w:val="22"/>
          <w:lang w:val="en-US"/>
        </w:rPr>
        <w:t xml:space="preserve"> </w:t>
      </w:r>
      <w:r w:rsidRPr="00733F20">
        <w:rPr>
          <w:rFonts w:eastAsia="Calibri"/>
          <w:sz w:val="22"/>
          <w:szCs w:val="22"/>
          <w:lang w:val="en-US"/>
        </w:rPr>
        <w:t>Board of Directors.</w:t>
      </w:r>
      <w:r w:rsidR="00E21066" w:rsidRPr="00733F20">
        <w:rPr>
          <w:rFonts w:eastAsia="Calibri"/>
          <w:sz w:val="22"/>
          <w:szCs w:val="22"/>
          <w:lang w:val="en-US"/>
        </w:rPr>
        <w:t xml:space="preserve"> </w:t>
      </w:r>
      <w:r w:rsidRPr="00733F20">
        <w:rPr>
          <w:rFonts w:eastAsia="Calibri"/>
          <w:sz w:val="22"/>
          <w:szCs w:val="22"/>
          <w:lang w:val="en-US"/>
        </w:rPr>
        <w:t>In the present context it is accepted that all the bodies which exercise power and discretion must take decisions according to natural justice. According to Sirisena Cooray vs.</w:t>
      </w:r>
      <w:r w:rsidR="00E21066" w:rsidRPr="00733F20">
        <w:rPr>
          <w:rFonts w:eastAsia="Calibri"/>
          <w:sz w:val="22"/>
          <w:szCs w:val="22"/>
          <w:lang w:val="en-US"/>
        </w:rPr>
        <w:t xml:space="preserve"> </w:t>
      </w:r>
      <w:r w:rsidRPr="00733F20">
        <w:rPr>
          <w:rFonts w:eastAsia="Calibri"/>
          <w:sz w:val="22"/>
          <w:szCs w:val="22"/>
          <w:lang w:val="en-US"/>
        </w:rPr>
        <w:t>Tissa Dias Bandaranayake</w:t>
      </w:r>
      <w:r w:rsidR="00E21066" w:rsidRPr="00733F20">
        <w:rPr>
          <w:rFonts w:eastAsia="Calibri"/>
          <w:sz w:val="22"/>
          <w:szCs w:val="22"/>
          <w:lang w:val="en-US"/>
        </w:rPr>
        <w:t xml:space="preserve"> </w:t>
      </w:r>
      <w:r w:rsidRPr="00733F20">
        <w:rPr>
          <w:rFonts w:eastAsia="Calibri"/>
          <w:sz w:val="22"/>
          <w:szCs w:val="22"/>
          <w:lang w:val="en-US"/>
        </w:rPr>
        <w:t>(1999) and many other cases have adopted that there is nothing like untrammelled or unfettered discretion in public law.</w:t>
      </w:r>
    </w:p>
    <w:p w:rsidR="00EF00A0" w:rsidRPr="00733F20" w:rsidRDefault="00EF00A0" w:rsidP="00701976">
      <w:pPr>
        <w:spacing w:after="0" w:line="240" w:lineRule="auto"/>
        <w:contextualSpacing w:val="0"/>
        <w:rPr>
          <w:color w:val="444444"/>
          <w:sz w:val="22"/>
          <w:szCs w:val="22"/>
          <w:lang w:val="en-US" w:bidi="ta-IN"/>
        </w:rPr>
      </w:pPr>
      <w:r w:rsidRPr="00733F20">
        <w:rPr>
          <w:rFonts w:eastAsia="Calibri"/>
          <w:sz w:val="22"/>
          <w:szCs w:val="22"/>
          <w:lang w:val="en-US"/>
        </w:rPr>
        <w:t xml:space="preserve">               `</w:t>
      </w: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 xml:space="preserve"> v)</w:t>
      </w:r>
      <w:r w:rsidR="00701976" w:rsidRPr="00733F20">
        <w:rPr>
          <w:rFonts w:eastAsia="Calibri"/>
          <w:sz w:val="22"/>
          <w:szCs w:val="22"/>
          <w:lang w:val="en-US"/>
        </w:rPr>
        <w:t xml:space="preserve"> </w:t>
      </w:r>
      <w:r w:rsidRPr="00733F20">
        <w:rPr>
          <w:rFonts w:eastAsia="Calibri"/>
          <w:sz w:val="22"/>
          <w:szCs w:val="22"/>
          <w:lang w:val="en-US"/>
        </w:rPr>
        <w:t>Right to equality and equal protection of the law</w:t>
      </w:r>
    </w:p>
    <w:p w:rsidR="007D0393" w:rsidRPr="00733F20" w:rsidRDefault="007D0393" w:rsidP="00701976">
      <w:pPr>
        <w:spacing w:after="0" w:line="240" w:lineRule="auto"/>
        <w:contextualSpacing w:val="0"/>
        <w:rPr>
          <w:rFonts w:eastAsia="Calibri"/>
          <w:sz w:val="22"/>
          <w:szCs w:val="22"/>
          <w:lang w:val="en-US"/>
        </w:rPr>
      </w:pPr>
    </w:p>
    <w:p w:rsidR="00EF00A0" w:rsidRPr="00733F20" w:rsidRDefault="00EF00A0" w:rsidP="00701976">
      <w:pPr>
        <w:spacing w:after="0" w:line="240" w:lineRule="auto"/>
        <w:contextualSpacing w:val="0"/>
        <w:rPr>
          <w:rFonts w:eastAsia="Calibri"/>
          <w:sz w:val="22"/>
          <w:szCs w:val="22"/>
          <w:lang w:val="en-US"/>
        </w:rPr>
      </w:pPr>
      <w:r w:rsidRPr="00733F20">
        <w:rPr>
          <w:rFonts w:eastAsia="Calibri"/>
          <w:sz w:val="22"/>
          <w:szCs w:val="22"/>
          <w:lang w:val="en-US"/>
        </w:rPr>
        <w:t xml:space="preserve">Ensuring fundamental rights of the citizens is one of the main objectives of any government. If a fundamental right of a citizen is violated by an act of the public authority it must be ensured by the court immediately. Because public authorities are exercising the power </w:t>
      </w:r>
      <w:r w:rsidR="00E21066" w:rsidRPr="00733F20">
        <w:rPr>
          <w:rFonts w:eastAsia="Calibri"/>
          <w:sz w:val="22"/>
          <w:szCs w:val="22"/>
          <w:lang w:val="en-US"/>
        </w:rPr>
        <w:t xml:space="preserve">which is </w:t>
      </w:r>
      <w:r w:rsidRPr="00733F20">
        <w:rPr>
          <w:rFonts w:eastAsia="Calibri"/>
          <w:sz w:val="22"/>
          <w:szCs w:val="22"/>
          <w:lang w:val="en-US"/>
        </w:rPr>
        <w:t>given them by relevant acts. In addition to writs the contemporary trend is challenging the decisions of public authorities from the light of article 12(1) of the constitution. The concept of rule of law encompasses by the article 12(1) of the constitution. In most recent Visal Bhashitha Kavirathne</w:t>
      </w:r>
      <w:r w:rsidR="00E21066" w:rsidRPr="00733F20">
        <w:rPr>
          <w:rFonts w:eastAsia="Calibri"/>
          <w:sz w:val="22"/>
          <w:szCs w:val="22"/>
          <w:lang w:val="en-US"/>
        </w:rPr>
        <w:t xml:space="preserve"> </w:t>
      </w:r>
      <w:r w:rsidRPr="00733F20">
        <w:rPr>
          <w:rFonts w:eastAsia="Calibri"/>
          <w:sz w:val="22"/>
          <w:szCs w:val="22"/>
          <w:lang w:val="en-US"/>
        </w:rPr>
        <w:t xml:space="preserve">(2012) case Chief Justice Dr. Shirani A. Bandaranayake has stated </w:t>
      </w:r>
      <w:r w:rsidR="00E21066" w:rsidRPr="00733F20">
        <w:rPr>
          <w:rFonts w:eastAsia="Calibri"/>
          <w:sz w:val="22"/>
          <w:szCs w:val="22"/>
          <w:lang w:val="en-US"/>
        </w:rPr>
        <w:t xml:space="preserve">that </w:t>
      </w:r>
      <w:r w:rsidRPr="00733F20">
        <w:rPr>
          <w:rFonts w:eastAsia="Calibri"/>
          <w:sz w:val="22"/>
          <w:szCs w:val="22"/>
          <w:lang w:val="en-US"/>
        </w:rPr>
        <w:t xml:space="preserve">"…which resulted in the failure to rank the most suitable candidates for admission to Universities is arbitrary, unreasonable, irrational, </w:t>
      </w:r>
      <w:r w:rsidR="00333971" w:rsidRPr="00733F20">
        <w:rPr>
          <w:rFonts w:eastAsia="Calibri"/>
          <w:sz w:val="22"/>
          <w:szCs w:val="22"/>
          <w:lang w:val="en-US"/>
        </w:rPr>
        <w:t>and unjustifiable</w:t>
      </w:r>
      <w:r w:rsidRPr="00733F20">
        <w:rPr>
          <w:rFonts w:eastAsia="Calibri"/>
          <w:sz w:val="22"/>
          <w:szCs w:val="22"/>
          <w:lang w:val="en-US"/>
        </w:rPr>
        <w:t xml:space="preserve"> and is in violation of the petitioners’ fundamental rights guaranteed under Article 12 (1) of the Constitution." Many decisions of the public authorities now question before the Supreme Court with the light of Article 12(1) of the constitution and it has become an emerging trend now. In those </w:t>
      </w:r>
      <w:r w:rsidR="00E21066" w:rsidRPr="00733F20">
        <w:rPr>
          <w:rFonts w:eastAsia="Calibri"/>
          <w:sz w:val="22"/>
          <w:szCs w:val="22"/>
          <w:lang w:val="en-US"/>
        </w:rPr>
        <w:t>cases,</w:t>
      </w:r>
      <w:r w:rsidRPr="00733F20">
        <w:rPr>
          <w:rFonts w:eastAsia="Calibri"/>
          <w:sz w:val="22"/>
          <w:szCs w:val="22"/>
          <w:lang w:val="en-US"/>
        </w:rPr>
        <w:t xml:space="preserve"> all the bases we discussed in granting writs by judicial review are consider</w:t>
      </w:r>
      <w:r w:rsidR="00E21066" w:rsidRPr="00733F20">
        <w:rPr>
          <w:rFonts w:eastAsia="Calibri"/>
          <w:sz w:val="22"/>
          <w:szCs w:val="22"/>
          <w:lang w:val="en-US"/>
        </w:rPr>
        <w:t>ed</w:t>
      </w:r>
      <w:r w:rsidRPr="00733F20">
        <w:rPr>
          <w:rFonts w:eastAsia="Calibri"/>
          <w:sz w:val="22"/>
          <w:szCs w:val="22"/>
          <w:lang w:val="en-US"/>
        </w:rPr>
        <w:t xml:space="preserve">. </w:t>
      </w:r>
      <w:r w:rsidR="00E21066" w:rsidRPr="00733F20">
        <w:rPr>
          <w:rFonts w:eastAsia="Calibri"/>
          <w:sz w:val="22"/>
          <w:szCs w:val="22"/>
          <w:lang w:val="en-US"/>
        </w:rPr>
        <w:t>Therefore,</w:t>
      </w:r>
      <w:r w:rsidRPr="00733F20">
        <w:rPr>
          <w:rFonts w:eastAsia="Calibri"/>
          <w:sz w:val="22"/>
          <w:szCs w:val="22"/>
          <w:lang w:val="en-US"/>
        </w:rPr>
        <w:t xml:space="preserve"> the base of that article 12(1) has become more significant and it has a value of discussing the above matter further.</w:t>
      </w:r>
    </w:p>
    <w:p w:rsidR="000C265C" w:rsidRDefault="0003589B" w:rsidP="00701976">
      <w:pPr>
        <w:spacing w:after="0" w:line="240" w:lineRule="auto"/>
        <w:contextualSpacing w:val="0"/>
        <w:rPr>
          <w:rFonts w:eastAsia="Calibri"/>
          <w:sz w:val="22"/>
          <w:szCs w:val="22"/>
          <w:lang w:val="en-US"/>
        </w:rPr>
      </w:pPr>
      <w:r w:rsidRPr="00F5276B">
        <w:rPr>
          <w:spacing w:val="-1"/>
        </w:rPr>
        <w:lastRenderedPageBreak/>
        <w:t>After</w:t>
      </w:r>
      <w:r w:rsidRPr="00F5276B">
        <w:rPr>
          <w:spacing w:val="24"/>
        </w:rPr>
        <w:t xml:space="preserve"> </w:t>
      </w:r>
      <w:r w:rsidRPr="00F5276B">
        <w:rPr>
          <w:spacing w:val="-1"/>
        </w:rPr>
        <w:t>introducing</w:t>
      </w:r>
      <w:r w:rsidRPr="00F5276B">
        <w:rPr>
          <w:spacing w:val="21"/>
        </w:rPr>
        <w:t xml:space="preserve"> </w:t>
      </w:r>
      <w:r w:rsidRPr="00733F20">
        <w:t>the</w:t>
      </w:r>
      <w:r w:rsidRPr="00F5276B">
        <w:rPr>
          <w:spacing w:val="24"/>
        </w:rPr>
        <w:t xml:space="preserve"> </w:t>
      </w:r>
      <w:r w:rsidRPr="00F5276B">
        <w:rPr>
          <w:spacing w:val="-1"/>
        </w:rPr>
        <w:t>constitution</w:t>
      </w:r>
      <w:r w:rsidRPr="00F5276B">
        <w:rPr>
          <w:spacing w:val="24"/>
        </w:rPr>
        <w:t xml:space="preserve"> </w:t>
      </w:r>
      <w:r w:rsidRPr="00733F20">
        <w:t>of</w:t>
      </w:r>
      <w:r w:rsidRPr="00F5276B">
        <w:rPr>
          <w:spacing w:val="24"/>
        </w:rPr>
        <w:t xml:space="preserve"> </w:t>
      </w:r>
      <w:r w:rsidRPr="00733F20">
        <w:t>1978</w:t>
      </w:r>
      <w:r w:rsidRPr="00F5276B">
        <w:rPr>
          <w:spacing w:val="52"/>
        </w:rPr>
        <w:t xml:space="preserve"> </w:t>
      </w:r>
      <w:r w:rsidRPr="00F5276B">
        <w:rPr>
          <w:spacing w:val="-1"/>
        </w:rPr>
        <w:t>there</w:t>
      </w:r>
      <w:r w:rsidRPr="00F5276B">
        <w:rPr>
          <w:spacing w:val="24"/>
        </w:rPr>
        <w:t xml:space="preserve"> </w:t>
      </w:r>
      <w:r w:rsidRPr="00F5276B">
        <w:rPr>
          <w:spacing w:val="-1"/>
        </w:rPr>
        <w:t>was</w:t>
      </w:r>
      <w:r w:rsidRPr="00F5276B">
        <w:rPr>
          <w:spacing w:val="22"/>
        </w:rPr>
        <w:t xml:space="preserve"> </w:t>
      </w:r>
      <w:r w:rsidRPr="00733F20">
        <w:t>a</w:t>
      </w:r>
      <w:r w:rsidRPr="00F5276B">
        <w:rPr>
          <w:spacing w:val="24"/>
        </w:rPr>
        <w:t xml:space="preserve"> </w:t>
      </w:r>
      <w:r w:rsidRPr="00733F20">
        <w:t>clear</w:t>
      </w:r>
      <w:r w:rsidRPr="00F5276B">
        <w:rPr>
          <w:spacing w:val="22"/>
        </w:rPr>
        <w:t xml:space="preserve"> </w:t>
      </w:r>
      <w:r w:rsidRPr="00F5276B">
        <w:rPr>
          <w:spacing w:val="-1"/>
        </w:rPr>
        <w:t>foundation</w:t>
      </w:r>
      <w:r w:rsidRPr="00F5276B">
        <w:rPr>
          <w:spacing w:val="24"/>
        </w:rPr>
        <w:t xml:space="preserve"> </w:t>
      </w:r>
      <w:r w:rsidRPr="00F5276B">
        <w:rPr>
          <w:spacing w:val="-1"/>
        </w:rPr>
        <w:t>for</w:t>
      </w:r>
      <w:r w:rsidRPr="00F5276B">
        <w:rPr>
          <w:spacing w:val="22"/>
        </w:rPr>
        <w:t xml:space="preserve"> </w:t>
      </w:r>
      <w:r w:rsidRPr="00F5276B">
        <w:rPr>
          <w:spacing w:val="-1"/>
        </w:rPr>
        <w:t>judicial</w:t>
      </w:r>
      <w:r w:rsidRPr="00F5276B">
        <w:rPr>
          <w:spacing w:val="25"/>
        </w:rPr>
        <w:t xml:space="preserve"> </w:t>
      </w:r>
      <w:r w:rsidRPr="00F5276B">
        <w:rPr>
          <w:spacing w:val="-1"/>
        </w:rPr>
        <w:t>review</w:t>
      </w:r>
      <w:r w:rsidRPr="00F5276B">
        <w:rPr>
          <w:spacing w:val="59"/>
        </w:rPr>
        <w:t xml:space="preserve"> </w:t>
      </w:r>
      <w:r w:rsidRPr="00F5276B">
        <w:rPr>
          <w:spacing w:val="-1"/>
        </w:rPr>
        <w:t>going</w:t>
      </w:r>
      <w:r w:rsidRPr="00F5276B">
        <w:rPr>
          <w:spacing w:val="7"/>
        </w:rPr>
        <w:t xml:space="preserve"> </w:t>
      </w:r>
      <w:r w:rsidRPr="00F5276B">
        <w:rPr>
          <w:spacing w:val="-1"/>
        </w:rPr>
        <w:t>beyond</w:t>
      </w:r>
      <w:r w:rsidRPr="00F5276B">
        <w:rPr>
          <w:spacing w:val="9"/>
        </w:rPr>
        <w:t xml:space="preserve"> </w:t>
      </w:r>
      <w:r w:rsidRPr="00733F20">
        <w:t>the</w:t>
      </w:r>
      <w:r w:rsidRPr="00F5276B">
        <w:rPr>
          <w:spacing w:val="9"/>
        </w:rPr>
        <w:t xml:space="preserve"> </w:t>
      </w:r>
      <w:r w:rsidRPr="00F5276B">
        <w:rPr>
          <w:spacing w:val="-1"/>
        </w:rPr>
        <w:t>writs</w:t>
      </w:r>
      <w:r w:rsidRPr="00F5276B">
        <w:rPr>
          <w:spacing w:val="10"/>
        </w:rPr>
        <w:t xml:space="preserve"> </w:t>
      </w:r>
      <w:r w:rsidRPr="00F5276B">
        <w:rPr>
          <w:spacing w:val="-1"/>
        </w:rPr>
        <w:t>mentioned</w:t>
      </w:r>
      <w:r w:rsidRPr="00F5276B">
        <w:rPr>
          <w:spacing w:val="9"/>
        </w:rPr>
        <w:t xml:space="preserve"> </w:t>
      </w:r>
      <w:r w:rsidRPr="00733F20">
        <w:t>in</w:t>
      </w:r>
      <w:r w:rsidRPr="00F5276B">
        <w:rPr>
          <w:spacing w:val="7"/>
        </w:rPr>
        <w:t xml:space="preserve"> </w:t>
      </w:r>
      <w:r w:rsidRPr="00F5276B">
        <w:rPr>
          <w:spacing w:val="-1"/>
        </w:rPr>
        <w:t>article</w:t>
      </w:r>
      <w:r w:rsidRPr="00F5276B">
        <w:rPr>
          <w:spacing w:val="9"/>
        </w:rPr>
        <w:t xml:space="preserve"> </w:t>
      </w:r>
      <w:r w:rsidRPr="00733F20">
        <w:t>140</w:t>
      </w:r>
      <w:r w:rsidRPr="00F5276B">
        <w:rPr>
          <w:spacing w:val="7"/>
        </w:rPr>
        <w:t xml:space="preserve"> </w:t>
      </w:r>
      <w:r w:rsidRPr="00733F20">
        <w:t>and</w:t>
      </w:r>
      <w:r w:rsidRPr="00F5276B">
        <w:rPr>
          <w:spacing w:val="7"/>
        </w:rPr>
        <w:t xml:space="preserve"> </w:t>
      </w:r>
      <w:r w:rsidRPr="00733F20">
        <w:t>154(P)</w:t>
      </w:r>
      <w:r w:rsidRPr="00F5276B">
        <w:rPr>
          <w:spacing w:val="7"/>
        </w:rPr>
        <w:t xml:space="preserve"> </w:t>
      </w:r>
      <w:r w:rsidRPr="00733F20">
        <w:t>(1).</w:t>
      </w:r>
      <w:r w:rsidRPr="00F5276B">
        <w:rPr>
          <w:spacing w:val="9"/>
        </w:rPr>
        <w:t xml:space="preserve"> </w:t>
      </w:r>
      <w:r w:rsidRPr="00F5276B">
        <w:rPr>
          <w:spacing w:val="-2"/>
        </w:rPr>
        <w:t>But</w:t>
      </w:r>
      <w:r w:rsidRPr="00F5276B">
        <w:rPr>
          <w:spacing w:val="10"/>
        </w:rPr>
        <w:t xml:space="preserve"> </w:t>
      </w:r>
      <w:r w:rsidRPr="00733F20">
        <w:t>the</w:t>
      </w:r>
      <w:r w:rsidRPr="00F5276B">
        <w:rPr>
          <w:spacing w:val="7"/>
        </w:rPr>
        <w:t xml:space="preserve"> </w:t>
      </w:r>
      <w:r w:rsidRPr="00F5276B">
        <w:rPr>
          <w:spacing w:val="-1"/>
        </w:rPr>
        <w:t>superior</w:t>
      </w:r>
      <w:r w:rsidRPr="00F5276B">
        <w:rPr>
          <w:spacing w:val="10"/>
        </w:rPr>
        <w:t xml:space="preserve"> </w:t>
      </w:r>
      <w:r w:rsidRPr="00F5276B">
        <w:rPr>
          <w:spacing w:val="-1"/>
        </w:rPr>
        <w:t>courts</w:t>
      </w:r>
      <w:r w:rsidRPr="00F5276B">
        <w:rPr>
          <w:spacing w:val="10"/>
        </w:rPr>
        <w:t xml:space="preserve"> </w:t>
      </w:r>
      <w:r w:rsidRPr="00F5276B">
        <w:rPr>
          <w:spacing w:val="-1"/>
        </w:rPr>
        <w:t>have</w:t>
      </w:r>
      <w:r w:rsidRPr="00F5276B">
        <w:rPr>
          <w:spacing w:val="53"/>
        </w:rPr>
        <w:t xml:space="preserve"> </w:t>
      </w:r>
      <w:r w:rsidRPr="00733F20">
        <w:t>paid</w:t>
      </w:r>
      <w:r w:rsidRPr="00F5276B">
        <w:rPr>
          <w:spacing w:val="16"/>
        </w:rPr>
        <w:t xml:space="preserve"> </w:t>
      </w:r>
      <w:r w:rsidRPr="00F5276B">
        <w:rPr>
          <w:spacing w:val="-1"/>
        </w:rPr>
        <w:t>attention</w:t>
      </w:r>
      <w:r w:rsidRPr="00F5276B">
        <w:rPr>
          <w:spacing w:val="19"/>
        </w:rPr>
        <w:t xml:space="preserve"> </w:t>
      </w:r>
      <w:r w:rsidRPr="00733F20">
        <w:t>on</w:t>
      </w:r>
      <w:r w:rsidRPr="00F5276B">
        <w:rPr>
          <w:spacing w:val="16"/>
        </w:rPr>
        <w:t xml:space="preserve"> </w:t>
      </w:r>
      <w:r w:rsidRPr="00F5276B">
        <w:rPr>
          <w:spacing w:val="-1"/>
        </w:rPr>
        <w:t>articulating</w:t>
      </w:r>
      <w:r w:rsidRPr="00F5276B">
        <w:rPr>
          <w:spacing w:val="16"/>
        </w:rPr>
        <w:t xml:space="preserve"> </w:t>
      </w:r>
      <w:r w:rsidRPr="00733F20">
        <w:t>the</w:t>
      </w:r>
      <w:r w:rsidRPr="00F5276B">
        <w:rPr>
          <w:spacing w:val="19"/>
        </w:rPr>
        <w:t xml:space="preserve"> </w:t>
      </w:r>
      <w:r w:rsidRPr="00F5276B">
        <w:rPr>
          <w:spacing w:val="-1"/>
        </w:rPr>
        <w:t>law</w:t>
      </w:r>
      <w:r w:rsidRPr="00F5276B">
        <w:rPr>
          <w:spacing w:val="18"/>
        </w:rPr>
        <w:t xml:space="preserve"> </w:t>
      </w:r>
      <w:r w:rsidRPr="00F5276B">
        <w:rPr>
          <w:spacing w:val="-1"/>
        </w:rPr>
        <w:t>related</w:t>
      </w:r>
      <w:r w:rsidRPr="00F5276B">
        <w:rPr>
          <w:spacing w:val="17"/>
        </w:rPr>
        <w:t xml:space="preserve"> </w:t>
      </w:r>
      <w:r w:rsidRPr="00733F20">
        <w:t>to</w:t>
      </w:r>
      <w:r w:rsidRPr="00F5276B">
        <w:rPr>
          <w:spacing w:val="19"/>
        </w:rPr>
        <w:t xml:space="preserve"> </w:t>
      </w:r>
      <w:r w:rsidRPr="00F5276B">
        <w:rPr>
          <w:spacing w:val="-1"/>
        </w:rPr>
        <w:t>using</w:t>
      </w:r>
      <w:r w:rsidRPr="00F5276B">
        <w:rPr>
          <w:spacing w:val="16"/>
        </w:rPr>
        <w:t xml:space="preserve"> </w:t>
      </w:r>
      <w:r w:rsidRPr="00F5276B">
        <w:rPr>
          <w:spacing w:val="-1"/>
        </w:rPr>
        <w:t>public</w:t>
      </w:r>
      <w:r w:rsidRPr="00F5276B">
        <w:rPr>
          <w:spacing w:val="19"/>
        </w:rPr>
        <w:t xml:space="preserve"> </w:t>
      </w:r>
      <w:r w:rsidRPr="00F5276B">
        <w:rPr>
          <w:spacing w:val="-1"/>
        </w:rPr>
        <w:t>power</w:t>
      </w:r>
      <w:r w:rsidRPr="00F5276B">
        <w:rPr>
          <w:spacing w:val="20"/>
        </w:rPr>
        <w:t xml:space="preserve"> </w:t>
      </w:r>
      <w:r w:rsidRPr="00733F20">
        <w:t>by</w:t>
      </w:r>
      <w:r w:rsidRPr="00F5276B">
        <w:rPr>
          <w:spacing w:val="16"/>
        </w:rPr>
        <w:t xml:space="preserve"> </w:t>
      </w:r>
      <w:r w:rsidRPr="00F5276B">
        <w:rPr>
          <w:spacing w:val="-1"/>
        </w:rPr>
        <w:t>the</w:t>
      </w:r>
      <w:r w:rsidRPr="00F5276B">
        <w:rPr>
          <w:spacing w:val="19"/>
        </w:rPr>
        <w:t xml:space="preserve"> </w:t>
      </w:r>
      <w:r w:rsidRPr="00F5276B">
        <w:rPr>
          <w:spacing w:val="-1"/>
        </w:rPr>
        <w:t>public</w:t>
      </w:r>
      <w:r w:rsidRPr="00F5276B">
        <w:rPr>
          <w:spacing w:val="19"/>
        </w:rPr>
        <w:t xml:space="preserve"> </w:t>
      </w:r>
      <w:r w:rsidRPr="00F5276B">
        <w:rPr>
          <w:spacing w:val="-1"/>
        </w:rPr>
        <w:t>authorities</w:t>
      </w:r>
      <w:r w:rsidRPr="00F5276B">
        <w:rPr>
          <w:spacing w:val="41"/>
        </w:rPr>
        <w:t xml:space="preserve"> </w:t>
      </w:r>
      <w:r w:rsidRPr="00F5276B">
        <w:rPr>
          <w:spacing w:val="-1"/>
        </w:rPr>
        <w:t>with</w:t>
      </w:r>
      <w:r w:rsidRPr="00F5276B">
        <w:rPr>
          <w:spacing w:val="40"/>
        </w:rPr>
        <w:t xml:space="preserve"> </w:t>
      </w:r>
      <w:r w:rsidRPr="00F5276B">
        <w:rPr>
          <w:spacing w:val="-1"/>
        </w:rPr>
        <w:t>the</w:t>
      </w:r>
      <w:r w:rsidRPr="00F5276B">
        <w:rPr>
          <w:spacing w:val="41"/>
        </w:rPr>
        <w:t xml:space="preserve"> </w:t>
      </w:r>
      <w:r w:rsidRPr="00F5276B">
        <w:rPr>
          <w:spacing w:val="-1"/>
        </w:rPr>
        <w:t>attention</w:t>
      </w:r>
      <w:r w:rsidRPr="00F5276B">
        <w:rPr>
          <w:spacing w:val="42"/>
        </w:rPr>
        <w:t xml:space="preserve"> </w:t>
      </w:r>
      <w:r w:rsidRPr="00F5276B">
        <w:rPr>
          <w:spacing w:val="-1"/>
        </w:rPr>
        <w:t>to</w:t>
      </w:r>
      <w:r w:rsidRPr="00F5276B">
        <w:rPr>
          <w:spacing w:val="40"/>
        </w:rPr>
        <w:t xml:space="preserve"> </w:t>
      </w:r>
      <w:r w:rsidRPr="00F5276B">
        <w:rPr>
          <w:spacing w:val="-1"/>
        </w:rPr>
        <w:t>protect</w:t>
      </w:r>
      <w:r w:rsidRPr="00F5276B">
        <w:rPr>
          <w:spacing w:val="41"/>
        </w:rPr>
        <w:t xml:space="preserve"> </w:t>
      </w:r>
      <w:r w:rsidRPr="00F5276B">
        <w:rPr>
          <w:spacing w:val="-1"/>
        </w:rPr>
        <w:t>fundamental</w:t>
      </w:r>
      <w:r w:rsidRPr="00F5276B">
        <w:rPr>
          <w:spacing w:val="41"/>
        </w:rPr>
        <w:t xml:space="preserve"> </w:t>
      </w:r>
      <w:r w:rsidRPr="00F5276B">
        <w:rPr>
          <w:spacing w:val="-1"/>
        </w:rPr>
        <w:t>rights.</w:t>
      </w:r>
      <w:r w:rsidRPr="00F5276B">
        <w:rPr>
          <w:spacing w:val="38"/>
        </w:rPr>
        <w:t xml:space="preserve"> </w:t>
      </w:r>
      <w:r w:rsidRPr="00733F20">
        <w:t>The</w:t>
      </w:r>
      <w:r w:rsidRPr="00F5276B">
        <w:rPr>
          <w:spacing w:val="38"/>
        </w:rPr>
        <w:t xml:space="preserve"> </w:t>
      </w:r>
      <w:r w:rsidRPr="00F5276B">
        <w:rPr>
          <w:spacing w:val="-1"/>
        </w:rPr>
        <w:t>fundamental</w:t>
      </w:r>
      <w:r w:rsidRPr="00F5276B">
        <w:rPr>
          <w:spacing w:val="41"/>
        </w:rPr>
        <w:t xml:space="preserve"> </w:t>
      </w:r>
      <w:r w:rsidRPr="00F5276B">
        <w:rPr>
          <w:spacing w:val="-1"/>
        </w:rPr>
        <w:t>rights</w:t>
      </w:r>
      <w:r w:rsidRPr="00F5276B">
        <w:rPr>
          <w:spacing w:val="41"/>
        </w:rPr>
        <w:t xml:space="preserve"> </w:t>
      </w:r>
      <w:r w:rsidRPr="00F5276B">
        <w:rPr>
          <w:spacing w:val="-1"/>
        </w:rPr>
        <w:t>chapter</w:t>
      </w:r>
      <w:r w:rsidRPr="00F5276B">
        <w:rPr>
          <w:spacing w:val="41"/>
        </w:rPr>
        <w:t xml:space="preserve"> </w:t>
      </w:r>
      <w:r w:rsidRPr="00F5276B">
        <w:rPr>
          <w:spacing w:val="-1"/>
        </w:rPr>
        <w:t>which</w:t>
      </w:r>
      <w:r w:rsidRPr="00F5276B">
        <w:rPr>
          <w:spacing w:val="41"/>
        </w:rPr>
        <w:t xml:space="preserve"> </w:t>
      </w:r>
      <w:r w:rsidRPr="00F5276B">
        <w:rPr>
          <w:spacing w:val="-1"/>
        </w:rPr>
        <w:t>is</w:t>
      </w:r>
      <w:r w:rsidRPr="00F5276B">
        <w:rPr>
          <w:spacing w:val="65"/>
        </w:rPr>
        <w:t xml:space="preserve"> </w:t>
      </w:r>
      <w:r w:rsidRPr="00F5276B">
        <w:rPr>
          <w:spacing w:val="-1"/>
        </w:rPr>
        <w:t>included</w:t>
      </w:r>
      <w:r w:rsidRPr="00F5276B">
        <w:rPr>
          <w:spacing w:val="26"/>
        </w:rPr>
        <w:t xml:space="preserve"> </w:t>
      </w:r>
      <w:r w:rsidRPr="00733F20">
        <w:t>in</w:t>
      </w:r>
      <w:r w:rsidRPr="00F5276B">
        <w:rPr>
          <w:spacing w:val="28"/>
        </w:rPr>
        <w:t xml:space="preserve"> </w:t>
      </w:r>
      <w:r w:rsidRPr="00F5276B">
        <w:rPr>
          <w:spacing w:val="-1"/>
        </w:rPr>
        <w:t>the</w:t>
      </w:r>
      <w:r w:rsidRPr="00F5276B">
        <w:rPr>
          <w:spacing w:val="29"/>
        </w:rPr>
        <w:t xml:space="preserve"> </w:t>
      </w:r>
      <w:r w:rsidRPr="00F5276B">
        <w:rPr>
          <w:spacing w:val="-1"/>
        </w:rPr>
        <w:t>constitution</w:t>
      </w:r>
      <w:r w:rsidRPr="00F5276B">
        <w:rPr>
          <w:spacing w:val="28"/>
        </w:rPr>
        <w:t xml:space="preserve"> </w:t>
      </w:r>
      <w:r w:rsidRPr="00733F20">
        <w:t>and</w:t>
      </w:r>
      <w:r w:rsidRPr="00F5276B">
        <w:rPr>
          <w:spacing w:val="29"/>
        </w:rPr>
        <w:t xml:space="preserve"> </w:t>
      </w:r>
      <w:r w:rsidRPr="00733F20">
        <w:t>the</w:t>
      </w:r>
      <w:r w:rsidRPr="00F5276B">
        <w:rPr>
          <w:spacing w:val="26"/>
        </w:rPr>
        <w:t xml:space="preserve"> </w:t>
      </w:r>
      <w:r w:rsidRPr="00F5276B">
        <w:rPr>
          <w:spacing w:val="-1"/>
        </w:rPr>
        <w:t>article</w:t>
      </w:r>
      <w:r w:rsidRPr="00F5276B">
        <w:rPr>
          <w:spacing w:val="29"/>
        </w:rPr>
        <w:t xml:space="preserve"> </w:t>
      </w:r>
      <w:r w:rsidRPr="00733F20">
        <w:t>126</w:t>
      </w:r>
      <w:r w:rsidRPr="00F5276B">
        <w:rPr>
          <w:spacing w:val="28"/>
        </w:rPr>
        <w:t xml:space="preserve"> </w:t>
      </w:r>
      <w:r w:rsidRPr="00F5276B">
        <w:rPr>
          <w:spacing w:val="-2"/>
        </w:rPr>
        <w:t>which</w:t>
      </w:r>
      <w:r w:rsidRPr="00F5276B">
        <w:rPr>
          <w:spacing w:val="28"/>
        </w:rPr>
        <w:t xml:space="preserve"> </w:t>
      </w:r>
      <w:r w:rsidRPr="00F5276B">
        <w:rPr>
          <w:spacing w:val="-1"/>
        </w:rPr>
        <w:t>includes</w:t>
      </w:r>
      <w:r w:rsidRPr="00F5276B">
        <w:rPr>
          <w:spacing w:val="27"/>
        </w:rPr>
        <w:t xml:space="preserve"> </w:t>
      </w:r>
      <w:r w:rsidRPr="00733F20">
        <w:t>the</w:t>
      </w:r>
      <w:r w:rsidRPr="00F5276B">
        <w:rPr>
          <w:spacing w:val="26"/>
        </w:rPr>
        <w:t xml:space="preserve"> </w:t>
      </w:r>
      <w:r w:rsidRPr="00F5276B">
        <w:rPr>
          <w:spacing w:val="-1"/>
        </w:rPr>
        <w:t>remedy</w:t>
      </w:r>
      <w:r w:rsidRPr="00F5276B">
        <w:rPr>
          <w:spacing w:val="26"/>
        </w:rPr>
        <w:t xml:space="preserve"> </w:t>
      </w:r>
      <w:r w:rsidRPr="00733F20">
        <w:t>for</w:t>
      </w:r>
      <w:r w:rsidRPr="00F5276B">
        <w:rPr>
          <w:spacing w:val="29"/>
        </w:rPr>
        <w:t xml:space="preserve"> </w:t>
      </w:r>
      <w:r w:rsidRPr="00F5276B">
        <w:rPr>
          <w:spacing w:val="-1"/>
        </w:rPr>
        <w:t>violation</w:t>
      </w:r>
      <w:r w:rsidRPr="00F5276B">
        <w:rPr>
          <w:spacing w:val="28"/>
        </w:rPr>
        <w:t xml:space="preserve"> </w:t>
      </w:r>
      <w:r w:rsidRPr="00F5276B">
        <w:rPr>
          <w:spacing w:val="-2"/>
        </w:rPr>
        <w:t>of</w:t>
      </w:r>
      <w:r w:rsidRPr="00F5276B">
        <w:rPr>
          <w:spacing w:val="55"/>
        </w:rPr>
        <w:t xml:space="preserve"> </w:t>
      </w:r>
      <w:r w:rsidRPr="00F5276B">
        <w:rPr>
          <w:spacing w:val="-1"/>
        </w:rPr>
        <w:t>fundamental</w:t>
      </w:r>
      <w:r w:rsidRPr="00F5276B">
        <w:rPr>
          <w:spacing w:val="1"/>
        </w:rPr>
        <w:t xml:space="preserve"> </w:t>
      </w:r>
      <w:r w:rsidRPr="00F5276B">
        <w:rPr>
          <w:spacing w:val="-1"/>
        </w:rPr>
        <w:t>rights</w:t>
      </w:r>
      <w:r w:rsidRPr="00733F20">
        <w:t xml:space="preserve"> </w:t>
      </w:r>
      <w:r w:rsidRPr="00F5276B">
        <w:rPr>
          <w:spacing w:val="-2"/>
        </w:rPr>
        <w:t>give</w:t>
      </w:r>
      <w:r w:rsidRPr="00733F20">
        <w:t xml:space="preserve"> a very</w:t>
      </w:r>
      <w:r w:rsidRPr="00F5276B">
        <w:rPr>
          <w:spacing w:val="-3"/>
        </w:rPr>
        <w:t xml:space="preserve"> </w:t>
      </w:r>
      <w:r w:rsidRPr="00733F20">
        <w:t>strong</w:t>
      </w:r>
      <w:r w:rsidRPr="00F5276B">
        <w:rPr>
          <w:spacing w:val="-3"/>
        </w:rPr>
        <w:t xml:space="preserve"> </w:t>
      </w:r>
      <w:r w:rsidRPr="00F5276B">
        <w:rPr>
          <w:spacing w:val="-1"/>
        </w:rPr>
        <w:t>foundation</w:t>
      </w:r>
      <w:r w:rsidRPr="00733F20">
        <w:t xml:space="preserve"> </w:t>
      </w:r>
      <w:r w:rsidRPr="00F5276B">
        <w:rPr>
          <w:spacing w:val="-1"/>
        </w:rPr>
        <w:t>to</w:t>
      </w:r>
      <w:r w:rsidRPr="00733F20">
        <w:t xml:space="preserve"> </w:t>
      </w:r>
      <w:r w:rsidRPr="00F5276B">
        <w:rPr>
          <w:spacing w:val="-1"/>
        </w:rPr>
        <w:t>prove</w:t>
      </w:r>
      <w:r w:rsidRPr="00733F20">
        <w:t xml:space="preserve"> that</w:t>
      </w:r>
      <w:r w:rsidRPr="00F5276B">
        <w:rPr>
          <w:spacing w:val="1"/>
        </w:rPr>
        <w:t xml:space="preserve"> </w:t>
      </w:r>
      <w:r w:rsidRPr="00F5276B">
        <w:rPr>
          <w:spacing w:val="-1"/>
        </w:rPr>
        <w:t>Sri</w:t>
      </w:r>
      <w:r w:rsidRPr="00F5276B">
        <w:rPr>
          <w:spacing w:val="1"/>
        </w:rPr>
        <w:t xml:space="preserve"> </w:t>
      </w:r>
      <w:r w:rsidRPr="00F5276B">
        <w:rPr>
          <w:spacing w:val="-1"/>
        </w:rPr>
        <w:t>Lanka</w:t>
      </w:r>
      <w:r w:rsidRPr="00733F20">
        <w:t xml:space="preserve"> has </w:t>
      </w:r>
      <w:r w:rsidRPr="00F5276B">
        <w:rPr>
          <w:spacing w:val="-1"/>
        </w:rPr>
        <w:t>already</w:t>
      </w:r>
      <w:r w:rsidRPr="00F5276B">
        <w:rPr>
          <w:spacing w:val="-3"/>
        </w:rPr>
        <w:t xml:space="preserve"> </w:t>
      </w:r>
      <w:r w:rsidRPr="00733F20">
        <w:t xml:space="preserve">is </w:t>
      </w:r>
      <w:r w:rsidRPr="00F5276B">
        <w:rPr>
          <w:spacing w:val="1"/>
        </w:rPr>
        <w:t>drawn</w:t>
      </w:r>
      <w:r w:rsidRPr="00F5276B">
        <w:rPr>
          <w:spacing w:val="47"/>
        </w:rPr>
        <w:t xml:space="preserve"> </w:t>
      </w:r>
      <w:r w:rsidRPr="00733F20">
        <w:t>its</w:t>
      </w:r>
      <w:r w:rsidRPr="00F5276B">
        <w:rPr>
          <w:spacing w:val="2"/>
        </w:rPr>
        <w:t xml:space="preserve"> </w:t>
      </w:r>
      <w:r w:rsidRPr="00F5276B">
        <w:rPr>
          <w:spacing w:val="-1"/>
        </w:rPr>
        <w:t>attention</w:t>
      </w:r>
      <w:r w:rsidRPr="00733F20">
        <w:t xml:space="preserve"> </w:t>
      </w:r>
      <w:r w:rsidRPr="00F5276B">
        <w:rPr>
          <w:spacing w:val="-1"/>
        </w:rPr>
        <w:t>towards</w:t>
      </w:r>
      <w:r w:rsidRPr="00F5276B">
        <w:rPr>
          <w:spacing w:val="2"/>
        </w:rPr>
        <w:t xml:space="preserve"> </w:t>
      </w:r>
      <w:r w:rsidRPr="00733F20">
        <w:t xml:space="preserve">the </w:t>
      </w:r>
      <w:r w:rsidRPr="00F5276B">
        <w:rPr>
          <w:spacing w:val="-1"/>
        </w:rPr>
        <w:t>right</w:t>
      </w:r>
      <w:r w:rsidRPr="00F5276B">
        <w:rPr>
          <w:spacing w:val="3"/>
        </w:rPr>
        <w:t xml:space="preserve"> </w:t>
      </w:r>
      <w:r w:rsidRPr="00F5276B">
        <w:rPr>
          <w:spacing w:val="-1"/>
        </w:rPr>
        <w:t>based</w:t>
      </w:r>
      <w:r w:rsidRPr="00F5276B">
        <w:rPr>
          <w:spacing w:val="2"/>
        </w:rPr>
        <w:t xml:space="preserve"> </w:t>
      </w:r>
      <w:r w:rsidRPr="00F5276B">
        <w:rPr>
          <w:spacing w:val="-1"/>
        </w:rPr>
        <w:t>approach</w:t>
      </w:r>
      <w:r w:rsidRPr="00F5276B">
        <w:rPr>
          <w:spacing w:val="2"/>
        </w:rPr>
        <w:t xml:space="preserve"> </w:t>
      </w:r>
      <w:r w:rsidRPr="00F5276B">
        <w:rPr>
          <w:spacing w:val="-1"/>
        </w:rPr>
        <w:t>when</w:t>
      </w:r>
      <w:r w:rsidRPr="00F5276B">
        <w:rPr>
          <w:spacing w:val="2"/>
        </w:rPr>
        <w:t xml:space="preserve"> </w:t>
      </w:r>
      <w:r w:rsidRPr="00F5276B">
        <w:rPr>
          <w:spacing w:val="-1"/>
        </w:rPr>
        <w:t>reviewing</w:t>
      </w:r>
      <w:r w:rsidRPr="00733F20">
        <w:t xml:space="preserve"> the</w:t>
      </w:r>
      <w:r w:rsidRPr="00F5276B">
        <w:rPr>
          <w:spacing w:val="2"/>
        </w:rPr>
        <w:t xml:space="preserve"> </w:t>
      </w:r>
      <w:r w:rsidRPr="00F5276B">
        <w:rPr>
          <w:spacing w:val="-1"/>
        </w:rPr>
        <w:t>administrative</w:t>
      </w:r>
      <w:r w:rsidRPr="00F5276B">
        <w:rPr>
          <w:spacing w:val="2"/>
        </w:rPr>
        <w:t xml:space="preserve"> </w:t>
      </w:r>
      <w:r w:rsidRPr="00F5276B">
        <w:rPr>
          <w:spacing w:val="-1"/>
        </w:rPr>
        <w:t>actions.</w:t>
      </w:r>
      <w:r w:rsidRPr="00F5276B">
        <w:rPr>
          <w:spacing w:val="2"/>
        </w:rPr>
        <w:t xml:space="preserve"> </w:t>
      </w:r>
      <w:r w:rsidRPr="00F5276B">
        <w:rPr>
          <w:spacing w:val="-2"/>
        </w:rPr>
        <w:t>And</w:t>
      </w:r>
      <w:r w:rsidRPr="00F5276B">
        <w:rPr>
          <w:spacing w:val="67"/>
        </w:rPr>
        <w:t xml:space="preserve"> </w:t>
      </w:r>
      <w:r w:rsidRPr="00F5276B">
        <w:rPr>
          <w:spacing w:val="-1"/>
        </w:rPr>
        <w:t>another</w:t>
      </w:r>
      <w:r w:rsidRPr="00F5276B">
        <w:rPr>
          <w:spacing w:val="1"/>
        </w:rPr>
        <w:t xml:space="preserve"> </w:t>
      </w:r>
      <w:r w:rsidRPr="00F5276B">
        <w:rPr>
          <w:spacing w:val="-1"/>
        </w:rPr>
        <w:t>way</w:t>
      </w:r>
      <w:r w:rsidRPr="00F5276B">
        <w:rPr>
          <w:spacing w:val="-2"/>
        </w:rPr>
        <w:t xml:space="preserve"> </w:t>
      </w:r>
      <w:r w:rsidRPr="00733F20">
        <w:t>this</w:t>
      </w:r>
      <w:r w:rsidRPr="00F5276B">
        <w:rPr>
          <w:spacing w:val="-2"/>
        </w:rPr>
        <w:t xml:space="preserve"> </w:t>
      </w:r>
      <w:r w:rsidRPr="00733F20">
        <w:t xml:space="preserve">is a </w:t>
      </w:r>
      <w:r w:rsidRPr="00F5276B">
        <w:rPr>
          <w:spacing w:val="-1"/>
        </w:rPr>
        <w:t>way</w:t>
      </w:r>
      <w:r w:rsidRPr="00F5276B">
        <w:rPr>
          <w:spacing w:val="-2"/>
        </w:rPr>
        <w:t xml:space="preserve"> </w:t>
      </w:r>
      <w:r w:rsidRPr="00733F20">
        <w:t xml:space="preserve">to uphold </w:t>
      </w:r>
      <w:r w:rsidRPr="00F5276B">
        <w:rPr>
          <w:spacing w:val="-1"/>
        </w:rPr>
        <w:t>the</w:t>
      </w:r>
      <w:r w:rsidRPr="00733F20">
        <w:t xml:space="preserve"> </w:t>
      </w:r>
      <w:r w:rsidRPr="00F5276B">
        <w:rPr>
          <w:spacing w:val="-1"/>
        </w:rPr>
        <w:t>rule</w:t>
      </w:r>
      <w:r w:rsidRPr="00733F20">
        <w:t xml:space="preserve"> </w:t>
      </w:r>
      <w:r w:rsidRPr="00F5276B">
        <w:rPr>
          <w:spacing w:val="-1"/>
        </w:rPr>
        <w:t>of</w:t>
      </w:r>
      <w:r w:rsidRPr="00733F20">
        <w:t xml:space="preserve"> law of</w:t>
      </w:r>
      <w:r w:rsidRPr="00F5276B">
        <w:rPr>
          <w:spacing w:val="-2"/>
        </w:rPr>
        <w:t xml:space="preserve"> </w:t>
      </w:r>
      <w:r w:rsidRPr="00733F20">
        <w:t xml:space="preserve">the </w:t>
      </w:r>
      <w:r w:rsidRPr="00F5276B">
        <w:rPr>
          <w:spacing w:val="-1"/>
        </w:rPr>
        <w:t>country</w:t>
      </w:r>
      <w:r w:rsidRPr="00F5276B">
        <w:rPr>
          <w:spacing w:val="-3"/>
        </w:rPr>
        <w:t xml:space="preserve"> </w:t>
      </w:r>
      <w:r w:rsidRPr="00F5276B">
        <w:rPr>
          <w:spacing w:val="-1"/>
        </w:rPr>
        <w:t>through</w:t>
      </w:r>
      <w:r w:rsidRPr="00733F20">
        <w:t xml:space="preserve"> </w:t>
      </w:r>
      <w:r w:rsidRPr="00F5276B">
        <w:rPr>
          <w:spacing w:val="-1"/>
        </w:rPr>
        <w:t>equality</w:t>
      </w:r>
      <w:r w:rsidRPr="00F5276B">
        <w:rPr>
          <w:spacing w:val="-3"/>
        </w:rPr>
        <w:t xml:space="preserve"> </w:t>
      </w:r>
      <w:r w:rsidRPr="00733F20">
        <w:t xml:space="preserve">before </w:t>
      </w:r>
      <w:r w:rsidRPr="00F5276B">
        <w:rPr>
          <w:spacing w:val="-1"/>
        </w:rPr>
        <w:t>law.</w:t>
      </w:r>
      <w:r w:rsidRPr="00F5276B">
        <w:rPr>
          <w:spacing w:val="45"/>
        </w:rPr>
        <w:t xml:space="preserve"> </w:t>
      </w:r>
      <w:r w:rsidR="00EF00A0" w:rsidRPr="00F5276B">
        <w:rPr>
          <w:rFonts w:eastAsia="Calibri"/>
          <w:sz w:val="22"/>
          <w:szCs w:val="22"/>
          <w:lang w:val="en-US"/>
        </w:rPr>
        <w:t>In the case Perera vs Prof.</w:t>
      </w:r>
      <w:r w:rsidR="005A785B" w:rsidRPr="00F5276B">
        <w:rPr>
          <w:rFonts w:eastAsia="Calibri"/>
          <w:sz w:val="22"/>
          <w:szCs w:val="22"/>
          <w:lang w:val="en-US"/>
        </w:rPr>
        <w:t xml:space="preserve"> </w:t>
      </w:r>
      <w:r w:rsidR="00EF00A0" w:rsidRPr="00F5276B">
        <w:rPr>
          <w:rFonts w:eastAsia="Calibri"/>
          <w:sz w:val="22"/>
          <w:szCs w:val="22"/>
          <w:lang w:val="en-US"/>
        </w:rPr>
        <w:t>Daya Edirisinghe</w:t>
      </w:r>
      <w:r w:rsidR="005A785B" w:rsidRPr="00F5276B">
        <w:rPr>
          <w:rFonts w:eastAsia="Calibri"/>
          <w:sz w:val="22"/>
          <w:szCs w:val="22"/>
          <w:lang w:val="en-US"/>
        </w:rPr>
        <w:t xml:space="preserve"> </w:t>
      </w:r>
      <w:r w:rsidR="00EF00A0" w:rsidRPr="00F5276B">
        <w:rPr>
          <w:rFonts w:eastAsia="Calibri"/>
          <w:sz w:val="22"/>
          <w:szCs w:val="22"/>
          <w:lang w:val="en-US"/>
        </w:rPr>
        <w:t>(1995) it has mentioned that "Article 12 of the constitution ensures equality and equal treatment even where a right is not granted by common law…</w:t>
      </w:r>
      <w:r w:rsidR="00333971" w:rsidRPr="00F5276B">
        <w:rPr>
          <w:rFonts w:eastAsia="Calibri"/>
          <w:sz w:val="22"/>
          <w:szCs w:val="22"/>
          <w:lang w:val="en-US"/>
        </w:rPr>
        <w:t>“In</w:t>
      </w:r>
      <w:r w:rsidR="00EF00A0" w:rsidRPr="00F5276B">
        <w:rPr>
          <w:rFonts w:eastAsia="Calibri"/>
          <w:sz w:val="22"/>
          <w:szCs w:val="22"/>
          <w:lang w:val="en-US"/>
        </w:rPr>
        <w:t xml:space="preserve"> Dissanayake vs. Kaleel</w:t>
      </w:r>
      <w:r w:rsidR="005A785B" w:rsidRPr="00F5276B">
        <w:rPr>
          <w:rFonts w:eastAsia="Calibri"/>
          <w:sz w:val="22"/>
          <w:szCs w:val="22"/>
          <w:lang w:val="en-US"/>
        </w:rPr>
        <w:t xml:space="preserve"> </w:t>
      </w:r>
      <w:r w:rsidR="00EF00A0" w:rsidRPr="00F5276B">
        <w:rPr>
          <w:rFonts w:eastAsia="Calibri"/>
          <w:sz w:val="22"/>
          <w:szCs w:val="22"/>
          <w:lang w:val="en-US"/>
        </w:rPr>
        <w:t>(1993)</w:t>
      </w:r>
      <w:r w:rsidR="005A785B" w:rsidRPr="00F5276B">
        <w:rPr>
          <w:rFonts w:eastAsia="Calibri"/>
          <w:sz w:val="22"/>
          <w:szCs w:val="22"/>
          <w:lang w:val="en-US"/>
        </w:rPr>
        <w:t xml:space="preserve"> </w:t>
      </w:r>
      <w:r w:rsidR="00EF00A0" w:rsidRPr="00F5276B">
        <w:rPr>
          <w:rFonts w:eastAsia="Calibri"/>
          <w:sz w:val="22"/>
          <w:szCs w:val="22"/>
          <w:lang w:val="en-US"/>
        </w:rPr>
        <w:t>Supreme Court has driven its attention towards principles of natural justice from the light of article 12</w:t>
      </w:r>
      <w:r w:rsidR="001979F4" w:rsidRPr="00F5276B">
        <w:rPr>
          <w:rFonts w:eastAsia="Calibri"/>
          <w:sz w:val="22"/>
          <w:szCs w:val="22"/>
          <w:lang w:val="en-US"/>
        </w:rPr>
        <w:t>(1)</w:t>
      </w:r>
      <w:r w:rsidR="00EF00A0" w:rsidRPr="00F5276B">
        <w:rPr>
          <w:rFonts w:eastAsia="Calibri"/>
          <w:sz w:val="22"/>
          <w:szCs w:val="22"/>
          <w:lang w:val="en-US"/>
        </w:rPr>
        <w:t xml:space="preserve"> of the constitution.</w:t>
      </w:r>
    </w:p>
    <w:p w:rsidR="000C265C" w:rsidRDefault="000C265C" w:rsidP="00701976">
      <w:pPr>
        <w:spacing w:after="0" w:line="240" w:lineRule="auto"/>
        <w:contextualSpacing w:val="0"/>
        <w:rPr>
          <w:rFonts w:eastAsia="Calibri"/>
          <w:sz w:val="22"/>
          <w:szCs w:val="22"/>
          <w:lang w:val="en-US"/>
        </w:rPr>
      </w:pPr>
    </w:p>
    <w:p w:rsidR="007966C7" w:rsidRPr="000358B7" w:rsidRDefault="0093187C" w:rsidP="000358B7">
      <w:pPr>
        <w:spacing w:after="0" w:line="240" w:lineRule="auto"/>
        <w:ind w:left="360"/>
        <w:contextualSpacing w:val="0"/>
        <w:rPr>
          <w:rFonts w:eastAsia="Calibri"/>
          <w:sz w:val="22"/>
          <w:szCs w:val="22"/>
          <w:lang w:val="en-US"/>
        </w:rPr>
      </w:pPr>
      <w:r w:rsidRPr="00F5276B">
        <w:t xml:space="preserve"> </w:t>
      </w:r>
      <w:r w:rsidR="000358B7">
        <w:rPr>
          <w:rFonts w:eastAsia="Calibri"/>
          <w:sz w:val="22"/>
          <w:szCs w:val="22"/>
          <w:lang w:val="en-US"/>
        </w:rPr>
        <w:t xml:space="preserve">vi) </w:t>
      </w:r>
      <w:r w:rsidR="00733F20" w:rsidRPr="000358B7">
        <w:rPr>
          <w:rFonts w:eastAsia="Calibri"/>
          <w:sz w:val="22"/>
          <w:szCs w:val="22"/>
          <w:lang w:val="en-US"/>
        </w:rPr>
        <w:t xml:space="preserve"> </w:t>
      </w:r>
      <w:r w:rsidR="00EF00A0" w:rsidRPr="000358B7">
        <w:rPr>
          <w:rFonts w:eastAsia="Calibri"/>
          <w:sz w:val="22"/>
          <w:szCs w:val="22"/>
          <w:lang w:val="en-US"/>
        </w:rPr>
        <w:t>Judicial Review and Private Entities</w:t>
      </w:r>
    </w:p>
    <w:p w:rsidR="007966C7" w:rsidRPr="000C265C" w:rsidRDefault="007966C7" w:rsidP="00F5276B">
      <w:pPr>
        <w:pStyle w:val="ListParagraph"/>
        <w:spacing w:after="0" w:line="240" w:lineRule="auto"/>
        <w:ind w:left="1080"/>
        <w:contextualSpacing w:val="0"/>
        <w:rPr>
          <w:rFonts w:eastAsia="Calibri"/>
          <w:b/>
          <w:bCs/>
          <w:sz w:val="22"/>
          <w:szCs w:val="22"/>
          <w:lang w:val="en-US"/>
        </w:rPr>
      </w:pPr>
    </w:p>
    <w:p w:rsidR="007966C7" w:rsidRDefault="007966C7" w:rsidP="00F5276B">
      <w:pPr>
        <w:spacing w:after="0" w:line="240" w:lineRule="auto"/>
        <w:contextualSpacing w:val="0"/>
        <w:rPr>
          <w:rFonts w:eastAsia="Calibri"/>
          <w:bCs/>
          <w:sz w:val="22"/>
          <w:szCs w:val="22"/>
        </w:rPr>
      </w:pPr>
      <w:r w:rsidRPr="00F5276B">
        <w:rPr>
          <w:rFonts w:eastAsia="Calibri"/>
          <w:b/>
          <w:caps/>
          <w:szCs w:val="22"/>
        </w:rPr>
        <w:t xml:space="preserve">             </w:t>
      </w:r>
      <w:r>
        <w:rPr>
          <w:rFonts w:eastAsia="Calibri"/>
          <w:bCs/>
          <w:sz w:val="22"/>
          <w:szCs w:val="22"/>
        </w:rPr>
        <w:t>S</w:t>
      </w:r>
      <w:r w:rsidRPr="00F5276B">
        <w:rPr>
          <w:rFonts w:eastAsia="Calibri"/>
          <w:bCs/>
          <w:sz w:val="22"/>
          <w:szCs w:val="22"/>
        </w:rPr>
        <w:t>pecial attention must be given to the expansion of the judicial review towards the private entities which ar</w:t>
      </w:r>
      <w:r w:rsidR="000358B7">
        <w:rPr>
          <w:rFonts w:eastAsia="Calibri"/>
          <w:bCs/>
          <w:sz w:val="22"/>
          <w:szCs w:val="22"/>
        </w:rPr>
        <w:t>e exercising the public power i</w:t>
      </w:r>
      <w:r w:rsidRPr="00F5276B">
        <w:rPr>
          <w:rFonts w:eastAsia="Calibri"/>
          <w:bCs/>
          <w:sz w:val="22"/>
          <w:szCs w:val="22"/>
        </w:rPr>
        <w:t xml:space="preserve">n </w:t>
      </w:r>
      <w:r>
        <w:rPr>
          <w:rFonts w:eastAsia="Calibri"/>
          <w:bCs/>
          <w:sz w:val="22"/>
          <w:szCs w:val="22"/>
        </w:rPr>
        <w:t>H</w:t>
      </w:r>
      <w:r w:rsidRPr="00F5276B">
        <w:rPr>
          <w:rFonts w:eastAsia="Calibri"/>
          <w:bCs/>
          <w:sz w:val="22"/>
          <w:szCs w:val="22"/>
        </w:rPr>
        <w:t xml:space="preserve">emasiri </w:t>
      </w:r>
      <w:r>
        <w:rPr>
          <w:rFonts w:eastAsia="Calibri"/>
          <w:bCs/>
          <w:sz w:val="22"/>
          <w:szCs w:val="22"/>
        </w:rPr>
        <w:t>F</w:t>
      </w:r>
      <w:r w:rsidRPr="00F5276B">
        <w:rPr>
          <w:rFonts w:eastAsia="Calibri"/>
          <w:bCs/>
          <w:sz w:val="22"/>
          <w:szCs w:val="22"/>
        </w:rPr>
        <w:t xml:space="preserve">ernando vs. </w:t>
      </w:r>
      <w:r>
        <w:rPr>
          <w:rFonts w:eastAsia="Calibri"/>
          <w:bCs/>
          <w:sz w:val="22"/>
          <w:szCs w:val="22"/>
        </w:rPr>
        <w:t>M</w:t>
      </w:r>
      <w:r w:rsidRPr="00F5276B">
        <w:rPr>
          <w:rFonts w:eastAsia="Calibri"/>
          <w:bCs/>
          <w:sz w:val="22"/>
          <w:szCs w:val="22"/>
        </w:rPr>
        <w:t xml:space="preserve">angala </w:t>
      </w:r>
      <w:r>
        <w:rPr>
          <w:rFonts w:eastAsia="Calibri"/>
          <w:bCs/>
          <w:sz w:val="22"/>
          <w:szCs w:val="22"/>
        </w:rPr>
        <w:t>S</w:t>
      </w:r>
      <w:r w:rsidRPr="00F5276B">
        <w:rPr>
          <w:rFonts w:eastAsia="Calibri"/>
          <w:bCs/>
          <w:sz w:val="22"/>
          <w:szCs w:val="22"/>
        </w:rPr>
        <w:t>amaraweera (1999)</w:t>
      </w:r>
      <w:r>
        <w:rPr>
          <w:rFonts w:eastAsia="Calibri"/>
          <w:bCs/>
          <w:sz w:val="22"/>
          <w:szCs w:val="22"/>
        </w:rPr>
        <w:t>.</w:t>
      </w:r>
      <w:r w:rsidRPr="00F5276B">
        <w:rPr>
          <w:rFonts w:eastAsia="Calibri"/>
          <w:bCs/>
          <w:sz w:val="22"/>
          <w:szCs w:val="22"/>
        </w:rPr>
        <w:t xml:space="preserve"> </w:t>
      </w:r>
      <w:r>
        <w:rPr>
          <w:rFonts w:eastAsia="Calibri"/>
          <w:bCs/>
          <w:sz w:val="22"/>
          <w:szCs w:val="22"/>
        </w:rPr>
        <w:t>I</w:t>
      </w:r>
      <w:r w:rsidRPr="00F5276B">
        <w:rPr>
          <w:rFonts w:eastAsia="Calibri"/>
          <w:bCs/>
          <w:sz w:val="22"/>
          <w:szCs w:val="22"/>
        </w:rPr>
        <w:t xml:space="preserve">t was questioned </w:t>
      </w:r>
      <w:r w:rsidRPr="007966C7">
        <w:rPr>
          <w:rFonts w:eastAsia="Calibri"/>
          <w:bCs/>
          <w:sz w:val="22"/>
          <w:szCs w:val="22"/>
        </w:rPr>
        <w:t>about dismissal</w:t>
      </w:r>
      <w:r w:rsidRPr="00F5276B">
        <w:rPr>
          <w:rFonts w:eastAsia="Calibri"/>
          <w:bCs/>
          <w:sz w:val="22"/>
          <w:szCs w:val="22"/>
        </w:rPr>
        <w:t xml:space="preserve"> of the chairman of </w:t>
      </w:r>
      <w:r>
        <w:rPr>
          <w:rFonts w:eastAsia="Calibri"/>
          <w:bCs/>
          <w:sz w:val="22"/>
          <w:szCs w:val="22"/>
        </w:rPr>
        <w:t>S</w:t>
      </w:r>
      <w:r w:rsidRPr="00F5276B">
        <w:rPr>
          <w:rFonts w:eastAsia="Calibri"/>
          <w:bCs/>
          <w:sz w:val="22"/>
          <w:szCs w:val="22"/>
        </w:rPr>
        <w:t xml:space="preserve">ri </w:t>
      </w:r>
      <w:r>
        <w:rPr>
          <w:rFonts w:eastAsia="Calibri"/>
          <w:bCs/>
          <w:sz w:val="22"/>
          <w:szCs w:val="22"/>
        </w:rPr>
        <w:t>L</w:t>
      </w:r>
      <w:r w:rsidRPr="00F5276B">
        <w:rPr>
          <w:rFonts w:eastAsia="Calibri"/>
          <w:bCs/>
          <w:sz w:val="22"/>
          <w:szCs w:val="22"/>
        </w:rPr>
        <w:t xml:space="preserve">anka </w:t>
      </w:r>
      <w:r>
        <w:rPr>
          <w:rFonts w:eastAsia="Calibri"/>
          <w:bCs/>
          <w:sz w:val="22"/>
          <w:szCs w:val="22"/>
        </w:rPr>
        <w:t>T</w:t>
      </w:r>
      <w:r w:rsidRPr="00F5276B">
        <w:rPr>
          <w:rFonts w:eastAsia="Calibri"/>
          <w:bCs/>
          <w:sz w:val="22"/>
          <w:szCs w:val="22"/>
        </w:rPr>
        <w:t xml:space="preserve">elecom. </w:t>
      </w:r>
      <w:r w:rsidR="00333971">
        <w:rPr>
          <w:rFonts w:eastAsia="Calibri"/>
          <w:bCs/>
          <w:sz w:val="22"/>
          <w:szCs w:val="22"/>
        </w:rPr>
        <w:t xml:space="preserve"> A</w:t>
      </w:r>
      <w:r w:rsidRPr="00F5276B">
        <w:rPr>
          <w:rFonts w:eastAsia="Calibri"/>
          <w:bCs/>
          <w:sz w:val="22"/>
          <w:szCs w:val="22"/>
        </w:rPr>
        <w:t xml:space="preserve">lthough </w:t>
      </w:r>
      <w:r>
        <w:rPr>
          <w:rFonts w:eastAsia="Calibri"/>
          <w:bCs/>
          <w:sz w:val="22"/>
          <w:szCs w:val="22"/>
        </w:rPr>
        <w:t>S</w:t>
      </w:r>
      <w:r w:rsidRPr="00F5276B">
        <w:rPr>
          <w:rFonts w:eastAsia="Calibri"/>
          <w:bCs/>
          <w:sz w:val="22"/>
          <w:szCs w:val="22"/>
        </w:rPr>
        <w:t xml:space="preserve">ri </w:t>
      </w:r>
      <w:r>
        <w:rPr>
          <w:rFonts w:eastAsia="Calibri"/>
          <w:bCs/>
          <w:sz w:val="22"/>
          <w:szCs w:val="22"/>
        </w:rPr>
        <w:t>L</w:t>
      </w:r>
      <w:r w:rsidRPr="00F5276B">
        <w:rPr>
          <w:rFonts w:eastAsia="Calibri"/>
          <w:bCs/>
          <w:sz w:val="22"/>
          <w:szCs w:val="22"/>
        </w:rPr>
        <w:t xml:space="preserve">anka </w:t>
      </w:r>
      <w:r>
        <w:rPr>
          <w:rFonts w:eastAsia="Calibri"/>
          <w:bCs/>
          <w:sz w:val="22"/>
          <w:szCs w:val="22"/>
        </w:rPr>
        <w:t>T</w:t>
      </w:r>
      <w:r w:rsidRPr="00F5276B">
        <w:rPr>
          <w:rFonts w:eastAsia="Calibri"/>
          <w:bCs/>
          <w:sz w:val="22"/>
          <w:szCs w:val="22"/>
        </w:rPr>
        <w:t xml:space="preserve">elecom is not a government body as it exercises public power and performing a public function expanding the writ jurisdiction to such entity was questioned. </w:t>
      </w:r>
      <w:r>
        <w:rPr>
          <w:rFonts w:eastAsia="Calibri"/>
          <w:bCs/>
          <w:sz w:val="22"/>
          <w:szCs w:val="22"/>
        </w:rPr>
        <w:t>I</w:t>
      </w:r>
      <w:r w:rsidRPr="00F5276B">
        <w:rPr>
          <w:rFonts w:eastAsia="Calibri"/>
          <w:bCs/>
          <w:sz w:val="22"/>
          <w:szCs w:val="22"/>
        </w:rPr>
        <w:t xml:space="preserve">n </w:t>
      </w:r>
      <w:r>
        <w:rPr>
          <w:rFonts w:eastAsia="Calibri"/>
          <w:bCs/>
          <w:sz w:val="22"/>
          <w:szCs w:val="22"/>
        </w:rPr>
        <w:t>B</w:t>
      </w:r>
      <w:r w:rsidRPr="00F5276B">
        <w:rPr>
          <w:rFonts w:eastAsia="Calibri"/>
          <w:bCs/>
          <w:sz w:val="22"/>
          <w:szCs w:val="22"/>
        </w:rPr>
        <w:t xml:space="preserve">ulankulama vs. </w:t>
      </w:r>
      <w:r>
        <w:rPr>
          <w:rFonts w:eastAsia="Calibri"/>
          <w:bCs/>
          <w:sz w:val="22"/>
          <w:szCs w:val="22"/>
        </w:rPr>
        <w:t>S</w:t>
      </w:r>
      <w:r w:rsidRPr="00F5276B">
        <w:rPr>
          <w:rFonts w:eastAsia="Calibri"/>
          <w:bCs/>
          <w:sz w:val="22"/>
          <w:szCs w:val="22"/>
        </w:rPr>
        <w:t xml:space="preserve">ecretary, </w:t>
      </w:r>
      <w:r>
        <w:rPr>
          <w:rFonts w:eastAsia="Calibri"/>
          <w:bCs/>
          <w:sz w:val="22"/>
          <w:szCs w:val="22"/>
        </w:rPr>
        <w:t>M</w:t>
      </w:r>
      <w:r w:rsidRPr="00F5276B">
        <w:rPr>
          <w:rFonts w:eastAsia="Calibri"/>
          <w:bCs/>
          <w:sz w:val="22"/>
          <w:szCs w:val="22"/>
        </w:rPr>
        <w:t xml:space="preserve">inistry of </w:t>
      </w:r>
      <w:r>
        <w:rPr>
          <w:rFonts w:eastAsia="Calibri"/>
          <w:bCs/>
          <w:sz w:val="22"/>
          <w:szCs w:val="22"/>
        </w:rPr>
        <w:t>I</w:t>
      </w:r>
      <w:r w:rsidRPr="00F5276B">
        <w:rPr>
          <w:rFonts w:eastAsia="Calibri"/>
          <w:bCs/>
          <w:sz w:val="22"/>
          <w:szCs w:val="22"/>
        </w:rPr>
        <w:t xml:space="preserve">ndustrial </w:t>
      </w:r>
      <w:r>
        <w:rPr>
          <w:rFonts w:eastAsia="Calibri"/>
          <w:bCs/>
          <w:sz w:val="22"/>
          <w:szCs w:val="22"/>
        </w:rPr>
        <w:t>D</w:t>
      </w:r>
      <w:r w:rsidRPr="00F5276B">
        <w:rPr>
          <w:rFonts w:eastAsia="Calibri"/>
          <w:bCs/>
          <w:sz w:val="22"/>
          <w:szCs w:val="22"/>
        </w:rPr>
        <w:t xml:space="preserve">evelopment (2000) the power of the </w:t>
      </w:r>
      <w:r>
        <w:rPr>
          <w:rFonts w:eastAsia="Calibri"/>
          <w:bCs/>
          <w:sz w:val="22"/>
          <w:szCs w:val="22"/>
        </w:rPr>
        <w:t>S</w:t>
      </w:r>
      <w:r w:rsidRPr="00F5276B">
        <w:rPr>
          <w:rFonts w:eastAsia="Calibri"/>
          <w:bCs/>
          <w:sz w:val="22"/>
          <w:szCs w:val="22"/>
        </w:rPr>
        <w:t xml:space="preserve">upreme </w:t>
      </w:r>
      <w:r>
        <w:rPr>
          <w:rFonts w:eastAsia="Calibri"/>
          <w:bCs/>
          <w:sz w:val="22"/>
          <w:szCs w:val="22"/>
        </w:rPr>
        <w:t>C</w:t>
      </w:r>
      <w:r w:rsidRPr="00F5276B">
        <w:rPr>
          <w:rFonts w:eastAsia="Calibri"/>
          <w:bCs/>
          <w:sz w:val="22"/>
          <w:szCs w:val="22"/>
        </w:rPr>
        <w:t xml:space="preserve">ourt related to judicial review was widened towards the private entities. </w:t>
      </w:r>
      <w:r w:rsidR="000358B7">
        <w:rPr>
          <w:rFonts w:eastAsia="Calibri"/>
          <w:bCs/>
          <w:sz w:val="22"/>
          <w:szCs w:val="22"/>
        </w:rPr>
        <w:t>I</w:t>
      </w:r>
      <w:r w:rsidR="000358B7" w:rsidRPr="00F5276B">
        <w:rPr>
          <w:rFonts w:eastAsia="Calibri"/>
          <w:bCs/>
          <w:sz w:val="22"/>
          <w:szCs w:val="22"/>
        </w:rPr>
        <w:t xml:space="preserve">n </w:t>
      </w:r>
      <w:r w:rsidR="000358B7">
        <w:rPr>
          <w:rFonts w:eastAsia="Calibri"/>
          <w:bCs/>
          <w:sz w:val="22"/>
          <w:szCs w:val="22"/>
        </w:rPr>
        <w:t>Harjani</w:t>
      </w:r>
      <w:r w:rsidRPr="00F5276B">
        <w:rPr>
          <w:rFonts w:eastAsia="Calibri"/>
          <w:bCs/>
          <w:sz w:val="22"/>
          <w:szCs w:val="22"/>
        </w:rPr>
        <w:t xml:space="preserve"> vs. </w:t>
      </w:r>
      <w:r>
        <w:rPr>
          <w:rFonts w:eastAsia="Calibri"/>
          <w:bCs/>
          <w:sz w:val="22"/>
          <w:szCs w:val="22"/>
        </w:rPr>
        <w:t>I</w:t>
      </w:r>
      <w:r w:rsidRPr="00F5276B">
        <w:rPr>
          <w:rFonts w:eastAsia="Calibri"/>
          <w:bCs/>
          <w:sz w:val="22"/>
          <w:szCs w:val="22"/>
        </w:rPr>
        <w:t xml:space="preserve">ndian </w:t>
      </w:r>
      <w:r>
        <w:rPr>
          <w:rFonts w:eastAsia="Calibri"/>
          <w:bCs/>
          <w:sz w:val="22"/>
          <w:szCs w:val="22"/>
        </w:rPr>
        <w:t>O</w:t>
      </w:r>
      <w:r w:rsidRPr="00F5276B">
        <w:rPr>
          <w:rFonts w:eastAsia="Calibri"/>
          <w:bCs/>
          <w:sz w:val="22"/>
          <w:szCs w:val="22"/>
        </w:rPr>
        <w:t xml:space="preserve">verseas </w:t>
      </w:r>
      <w:r>
        <w:rPr>
          <w:rFonts w:eastAsia="Calibri"/>
          <w:bCs/>
          <w:sz w:val="22"/>
          <w:szCs w:val="22"/>
        </w:rPr>
        <w:t>B</w:t>
      </w:r>
      <w:r w:rsidRPr="00F5276B">
        <w:rPr>
          <w:rFonts w:eastAsia="Calibri"/>
          <w:bCs/>
          <w:sz w:val="22"/>
          <w:szCs w:val="22"/>
        </w:rPr>
        <w:t xml:space="preserve">ank (2004), the writ jurisdiction was </w:t>
      </w:r>
      <w:r w:rsidR="000358B7" w:rsidRPr="00F5276B">
        <w:rPr>
          <w:rFonts w:eastAsia="Calibri"/>
          <w:bCs/>
          <w:sz w:val="22"/>
          <w:szCs w:val="22"/>
        </w:rPr>
        <w:t>applied in the</w:t>
      </w:r>
      <w:r w:rsidRPr="00F5276B">
        <w:rPr>
          <w:rFonts w:eastAsia="Calibri"/>
          <w:bCs/>
          <w:sz w:val="22"/>
          <w:szCs w:val="22"/>
        </w:rPr>
        <w:t xml:space="preserve"> private sector and </w:t>
      </w:r>
      <w:r w:rsidR="000358B7" w:rsidRPr="00F5276B">
        <w:rPr>
          <w:rFonts w:eastAsia="Calibri"/>
          <w:bCs/>
          <w:sz w:val="22"/>
          <w:szCs w:val="22"/>
        </w:rPr>
        <w:t>Justice</w:t>
      </w:r>
      <w:r w:rsidRPr="00F5276B">
        <w:rPr>
          <w:rFonts w:eastAsia="Calibri"/>
          <w:bCs/>
          <w:sz w:val="22"/>
          <w:szCs w:val="22"/>
        </w:rPr>
        <w:t xml:space="preserve"> </w:t>
      </w:r>
      <w:r>
        <w:rPr>
          <w:rFonts w:eastAsia="Calibri"/>
          <w:bCs/>
          <w:sz w:val="22"/>
          <w:szCs w:val="22"/>
        </w:rPr>
        <w:t>S</w:t>
      </w:r>
      <w:r w:rsidRPr="00F5276B">
        <w:rPr>
          <w:rFonts w:eastAsia="Calibri"/>
          <w:bCs/>
          <w:sz w:val="22"/>
          <w:szCs w:val="22"/>
        </w:rPr>
        <w:t xml:space="preserve">aleem </w:t>
      </w:r>
      <w:r>
        <w:rPr>
          <w:rFonts w:eastAsia="Calibri"/>
          <w:bCs/>
          <w:sz w:val="22"/>
          <w:szCs w:val="22"/>
        </w:rPr>
        <w:t>M</w:t>
      </w:r>
      <w:r w:rsidRPr="00F5276B">
        <w:rPr>
          <w:rFonts w:eastAsia="Calibri"/>
          <w:bCs/>
          <w:sz w:val="22"/>
          <w:szCs w:val="22"/>
        </w:rPr>
        <w:t xml:space="preserve">arsoof granted a writ to review a resolution passed by the </w:t>
      </w:r>
      <w:r>
        <w:rPr>
          <w:rFonts w:eastAsia="Calibri"/>
          <w:bCs/>
          <w:sz w:val="22"/>
          <w:szCs w:val="22"/>
        </w:rPr>
        <w:t>I</w:t>
      </w:r>
      <w:r w:rsidRPr="00F5276B">
        <w:rPr>
          <w:rFonts w:eastAsia="Calibri"/>
          <w:bCs/>
          <w:sz w:val="22"/>
          <w:szCs w:val="22"/>
        </w:rPr>
        <w:t xml:space="preserve">ndian </w:t>
      </w:r>
      <w:r>
        <w:rPr>
          <w:rFonts w:eastAsia="Calibri"/>
          <w:bCs/>
          <w:sz w:val="22"/>
          <w:szCs w:val="22"/>
        </w:rPr>
        <w:t>O</w:t>
      </w:r>
      <w:r w:rsidRPr="00F5276B">
        <w:rPr>
          <w:rFonts w:eastAsia="Calibri"/>
          <w:bCs/>
          <w:sz w:val="22"/>
          <w:szCs w:val="22"/>
        </w:rPr>
        <w:t>verseas bank.</w:t>
      </w:r>
    </w:p>
    <w:p w:rsidR="000358B7" w:rsidRDefault="000358B7" w:rsidP="00F5276B">
      <w:pPr>
        <w:spacing w:after="0" w:line="240" w:lineRule="auto"/>
        <w:contextualSpacing w:val="0"/>
        <w:rPr>
          <w:rFonts w:eastAsia="Calibri"/>
          <w:bCs/>
          <w:sz w:val="22"/>
          <w:szCs w:val="22"/>
        </w:rPr>
      </w:pPr>
    </w:p>
    <w:p w:rsidR="000358B7" w:rsidRPr="00733F20" w:rsidRDefault="000358B7" w:rsidP="000358B7">
      <w:pPr>
        <w:pStyle w:val="ACSHeading"/>
        <w:jc w:val="both"/>
      </w:pPr>
      <w:r w:rsidRPr="00B125A1">
        <w:t>conclusions</w:t>
      </w:r>
      <w:r>
        <w:t xml:space="preserve"> </w:t>
      </w:r>
      <w:r w:rsidRPr="00B125A1">
        <w:t>/</w:t>
      </w:r>
      <w:r>
        <w:t xml:space="preserve"> </w:t>
      </w:r>
      <w:r w:rsidRPr="00B125A1">
        <w:t>RECOMMENDATIONS</w:t>
      </w:r>
    </w:p>
    <w:p w:rsidR="000358B7" w:rsidRPr="00733F20" w:rsidRDefault="000358B7" w:rsidP="000358B7">
      <w:pPr>
        <w:pStyle w:val="ACSHeading"/>
        <w:jc w:val="both"/>
      </w:pPr>
    </w:p>
    <w:p w:rsidR="000358B7" w:rsidRPr="006C5020" w:rsidRDefault="000358B7" w:rsidP="000358B7">
      <w:pPr>
        <w:pStyle w:val="ACSHeading"/>
        <w:jc w:val="both"/>
        <w:rPr>
          <w:b w:val="0"/>
          <w:bCs w:val="0"/>
          <w:caps w:val="0"/>
          <w:kern w:val="22"/>
          <w:szCs w:val="22"/>
        </w:rPr>
      </w:pPr>
      <w:r w:rsidRPr="007D61EE">
        <w:rPr>
          <w:b w:val="0"/>
          <w:bCs w:val="0"/>
          <w:caps w:val="0"/>
          <w:kern w:val="22"/>
          <w:szCs w:val="22"/>
        </w:rPr>
        <w:t>This research reveals that Sri Lanka has moved to rights-based approach now. It has surpassed the idea that the sole ground for judicial review is ultra vires. Sri Lankan judiciary has developed various grounds for judicial review from time to time namely public trust doctrine and public interest litigation, proportionality, legitimate expectation, natural justice and right to equality by the active and creative contribution of the judiciary.   But in this research, it is revealed that there are no common criteria for judicial review. As a country which is practicing constitutionalism with a written constitution, reviewing the constitutional articles by the judiciary in a rights - based approach is a very progressive step. But some disputes can be occurred in the future by not having a unitary code for judicial review such as the</w:t>
      </w:r>
      <w:r w:rsidRPr="007D61EE">
        <w:rPr>
          <w:b w:val="0"/>
          <w:bCs w:val="0"/>
          <w:caps w:val="0"/>
          <w:color w:val="000000"/>
          <w:sz w:val="24"/>
          <w:szCs w:val="24"/>
          <w:shd w:val="clear" w:color="auto" w:fill="FFFFFF"/>
        </w:rPr>
        <w:t xml:space="preserve"> uncertainty as to whether the courts will always follow the same approach in order to ensure rights of individuals. </w:t>
      </w:r>
      <w:r w:rsidRPr="007D61EE">
        <w:rPr>
          <w:b w:val="0"/>
          <w:bCs w:val="0"/>
          <w:caps w:val="0"/>
          <w:kern w:val="22"/>
          <w:szCs w:val="22"/>
        </w:rPr>
        <w:t xml:space="preserve">For an example, expanding the power of granting writs to private entities was a new creation of judicial review. But if all judges are not depending on the same grounds there may be an ambiguity in the grounds of judicial review. Therefore, the trust of the people towards the judiciary will be weakened. </w:t>
      </w:r>
      <w:r w:rsidRPr="007D61EE">
        <w:rPr>
          <w:b w:val="0"/>
          <w:bCs w:val="0"/>
          <w:caps w:val="0"/>
          <w:color w:val="000000"/>
          <w:sz w:val="24"/>
          <w:szCs w:val="24"/>
          <w:shd w:val="clear" w:color="auto" w:fill="FFFFFF"/>
        </w:rPr>
        <w:t xml:space="preserve">Accordingly, it is important to establish a written guide on the rights-based review of administrative actions by courts in Sri Lanka. </w:t>
      </w:r>
      <w:r w:rsidRPr="007D61EE">
        <w:rPr>
          <w:b w:val="0"/>
          <w:bCs w:val="0"/>
          <w:caps w:val="0"/>
          <w:kern w:val="22"/>
          <w:szCs w:val="22"/>
        </w:rPr>
        <w:t>To improve this progressive trend, codifying these grounds as directive principles for the judiciary will be more useful for the future. But in that process, there is a risk of interrupting the creative and imaginative process of judiciary by imposing rigid restrictions upon judiciary.</w:t>
      </w:r>
    </w:p>
    <w:p w:rsidR="000358B7" w:rsidRDefault="000358B7" w:rsidP="00F5276B">
      <w:pPr>
        <w:spacing w:after="0" w:line="240" w:lineRule="auto"/>
        <w:contextualSpacing w:val="0"/>
        <w:rPr>
          <w:rFonts w:eastAsia="Calibri"/>
          <w:bCs/>
          <w:sz w:val="22"/>
          <w:szCs w:val="22"/>
        </w:rPr>
      </w:pPr>
    </w:p>
    <w:p w:rsidR="006C5020" w:rsidRDefault="006C5020" w:rsidP="00F5276B">
      <w:pPr>
        <w:spacing w:after="0" w:line="240" w:lineRule="auto"/>
        <w:contextualSpacing w:val="0"/>
        <w:rPr>
          <w:rFonts w:eastAsia="Calibri"/>
          <w:bCs/>
          <w:sz w:val="22"/>
          <w:szCs w:val="22"/>
        </w:rPr>
      </w:pPr>
    </w:p>
    <w:p w:rsidR="007925F3" w:rsidRPr="00192189" w:rsidRDefault="007925F3" w:rsidP="00701976">
      <w:pPr>
        <w:pStyle w:val="ACSHeading"/>
        <w:jc w:val="both"/>
      </w:pPr>
      <w:r>
        <w:t>References</w:t>
      </w:r>
    </w:p>
    <w:p w:rsidR="00FD2149" w:rsidRPr="0035332D" w:rsidRDefault="00FD2149" w:rsidP="00701976">
      <w:pPr>
        <w:pStyle w:val="Default"/>
        <w:jc w:val="both"/>
        <w:rPr>
          <w:rFonts w:ascii="Times New Roman" w:hAnsi="Times New Roman" w:cs="Times New Roman"/>
          <w:color w:val="D85446"/>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8388"/>
      </w:tblGrid>
      <w:tr w:rsidR="00FD2149" w:rsidRPr="00192189" w:rsidTr="00EB780D">
        <w:trPr>
          <w:trHeight w:val="187"/>
        </w:trPr>
        <w:tc>
          <w:tcPr>
            <w:tcW w:w="8388" w:type="dxa"/>
          </w:tcPr>
          <w:tbl>
            <w:tblPr>
              <w:tblW w:w="8370" w:type="dxa"/>
              <w:tblBorders>
                <w:top w:val="nil"/>
                <w:left w:val="nil"/>
                <w:bottom w:val="nil"/>
                <w:right w:val="nil"/>
              </w:tblBorders>
              <w:tblLayout w:type="fixed"/>
              <w:tblLook w:val="0000" w:firstRow="0" w:lastRow="0" w:firstColumn="0" w:lastColumn="0" w:noHBand="0" w:noVBand="0"/>
            </w:tblPr>
            <w:tblGrid>
              <w:gridCol w:w="8370"/>
            </w:tblGrid>
            <w:tr w:rsidR="00FD2149" w:rsidRPr="00192189" w:rsidTr="00EB780D">
              <w:trPr>
                <w:trHeight w:val="99"/>
              </w:trPr>
              <w:tc>
                <w:tcPr>
                  <w:tcW w:w="8370" w:type="dxa"/>
                </w:tcPr>
                <w:p w:rsidR="00FD2149" w:rsidRPr="00192189" w:rsidRDefault="00FD2149" w:rsidP="00701976">
                  <w:pPr>
                    <w:pStyle w:val="Default"/>
                    <w:jc w:val="both"/>
                    <w:rPr>
                      <w:rFonts w:ascii="Times New Roman" w:hAnsi="Times New Roman" w:cs="Times New Roman"/>
                      <w:sz w:val="22"/>
                      <w:szCs w:val="22"/>
                    </w:rPr>
                  </w:pPr>
                  <w:r w:rsidRPr="00192189">
                    <w:rPr>
                      <w:rFonts w:ascii="Times New Roman" w:hAnsi="Times New Roman" w:cs="Times New Roman"/>
                      <w:b/>
                      <w:bCs/>
                      <w:sz w:val="22"/>
                      <w:szCs w:val="22"/>
                    </w:rPr>
                    <w:t xml:space="preserve">Books and eBooks </w:t>
                  </w:r>
                </w:p>
              </w:tc>
            </w:tr>
          </w:tbl>
          <w:p w:rsidR="00EF00A0" w:rsidRDefault="00EF00A0" w:rsidP="00701976">
            <w:pPr>
              <w:spacing w:after="0" w:line="240" w:lineRule="auto"/>
              <w:contextualSpacing w:val="0"/>
              <w:rPr>
                <w:rFonts w:eastAsia="Calibri"/>
                <w:color w:val="000000"/>
                <w:sz w:val="22"/>
                <w:szCs w:val="22"/>
                <w:shd w:val="clear" w:color="auto" w:fill="FFFFFF"/>
                <w:lang w:val="en-US"/>
              </w:rPr>
            </w:pPr>
            <w:r w:rsidRPr="00EF00A0">
              <w:rPr>
                <w:rFonts w:eastAsia="Calibri"/>
                <w:color w:val="000000"/>
                <w:sz w:val="22"/>
                <w:szCs w:val="22"/>
                <w:shd w:val="clear" w:color="auto" w:fill="FFFFFF"/>
                <w:lang w:val="en-US"/>
              </w:rPr>
              <w:lastRenderedPageBreak/>
              <w:t>Wade, W., &amp; Forsyth, C. (2009). </w:t>
            </w:r>
            <w:r w:rsidRPr="00EF00A0">
              <w:rPr>
                <w:rFonts w:eastAsia="Calibri"/>
                <w:i/>
                <w:iCs/>
                <w:color w:val="000000"/>
                <w:sz w:val="22"/>
                <w:szCs w:val="22"/>
                <w:shd w:val="clear" w:color="auto" w:fill="FFFFFF"/>
                <w:lang w:val="en-US"/>
              </w:rPr>
              <w:t>Administrative law</w:t>
            </w:r>
            <w:r w:rsidRPr="00EF00A0">
              <w:rPr>
                <w:rFonts w:eastAsia="Calibri"/>
                <w:color w:val="000000"/>
                <w:sz w:val="22"/>
                <w:szCs w:val="22"/>
                <w:shd w:val="clear" w:color="auto" w:fill="FFFFFF"/>
                <w:lang w:val="en-US"/>
              </w:rPr>
              <w:t>. Oxford: Oxford University Press.</w:t>
            </w: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p>
        </w:tc>
      </w:tr>
      <w:tr w:rsidR="00FD2149" w:rsidRPr="00192189" w:rsidTr="00EB780D">
        <w:trPr>
          <w:trHeight w:val="187"/>
        </w:trPr>
        <w:tc>
          <w:tcPr>
            <w:tcW w:w="8388" w:type="dxa"/>
            <w:tcBorders>
              <w:left w:val="nil"/>
              <w:bottom w:val="nil"/>
              <w:right w:val="nil"/>
            </w:tcBorders>
          </w:tcPr>
          <w:p w:rsidR="00FD2149" w:rsidRPr="00192189" w:rsidRDefault="00FD2149" w:rsidP="00701976">
            <w:pPr>
              <w:pStyle w:val="Default"/>
              <w:jc w:val="both"/>
              <w:rPr>
                <w:rFonts w:ascii="Times New Roman" w:hAnsi="Times New Roman" w:cs="Times New Roman"/>
                <w:sz w:val="22"/>
                <w:szCs w:val="22"/>
              </w:rPr>
            </w:pPr>
            <w:r w:rsidRPr="00192189">
              <w:rPr>
                <w:rFonts w:ascii="Times New Roman" w:hAnsi="Times New Roman" w:cs="Times New Roman"/>
                <w:b/>
                <w:bCs/>
                <w:sz w:val="22"/>
                <w:szCs w:val="22"/>
              </w:rPr>
              <w:lastRenderedPageBreak/>
              <w:t xml:space="preserve">Journal Articles </w:t>
            </w: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r w:rsidRPr="00EF00A0">
              <w:rPr>
                <w:rFonts w:eastAsia="Calibri"/>
                <w:color w:val="000000"/>
                <w:sz w:val="22"/>
                <w:szCs w:val="22"/>
                <w:shd w:val="clear" w:color="auto" w:fill="FFFFFF"/>
                <w:lang w:val="en-US"/>
              </w:rPr>
              <w:t>Allan, T. (2011). Questions of legality and legitimacy: Form and substance in British constitutionalism. </w:t>
            </w:r>
            <w:r w:rsidRPr="00EF00A0">
              <w:rPr>
                <w:rFonts w:eastAsia="Calibri"/>
                <w:i/>
                <w:iCs/>
                <w:color w:val="000000"/>
                <w:sz w:val="22"/>
                <w:szCs w:val="22"/>
                <w:shd w:val="clear" w:color="auto" w:fill="FFFFFF"/>
                <w:lang w:val="en-US"/>
              </w:rPr>
              <w:t>International Journal Of Constitutional Law</w:t>
            </w:r>
            <w:r w:rsidRPr="00EF00A0">
              <w:rPr>
                <w:rFonts w:eastAsia="Calibri"/>
                <w:color w:val="000000"/>
                <w:sz w:val="22"/>
                <w:szCs w:val="22"/>
                <w:shd w:val="clear" w:color="auto" w:fill="FFFFFF"/>
                <w:lang w:val="en-US"/>
              </w:rPr>
              <w:t>, </w:t>
            </w:r>
            <w:r w:rsidRPr="00EF00A0">
              <w:rPr>
                <w:rFonts w:eastAsia="Calibri"/>
                <w:i/>
                <w:iCs/>
                <w:color w:val="000000"/>
                <w:sz w:val="22"/>
                <w:szCs w:val="22"/>
                <w:shd w:val="clear" w:color="auto" w:fill="FFFFFF"/>
                <w:lang w:val="en-US"/>
              </w:rPr>
              <w:t>9</w:t>
            </w:r>
            <w:r w:rsidRPr="00EF00A0">
              <w:rPr>
                <w:rFonts w:eastAsia="Calibri"/>
                <w:color w:val="000000"/>
                <w:sz w:val="22"/>
                <w:szCs w:val="22"/>
                <w:shd w:val="clear" w:color="auto" w:fill="FFFFFF"/>
                <w:lang w:val="en-US"/>
              </w:rPr>
              <w:t>(1), 155-162. doi: 10.1093/icon/mor017</w:t>
            </w: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p>
          <w:p w:rsidR="00EF00A0" w:rsidRPr="00EF00A0" w:rsidRDefault="00EF00A0" w:rsidP="00701976">
            <w:pPr>
              <w:spacing w:after="0" w:line="240" w:lineRule="auto"/>
              <w:contextualSpacing w:val="0"/>
              <w:rPr>
                <w:rFonts w:eastAsia="Calibri"/>
                <w:sz w:val="22"/>
                <w:szCs w:val="22"/>
                <w:lang w:val="en-US"/>
              </w:rPr>
            </w:pPr>
            <w:r w:rsidRPr="00EF00A0">
              <w:rPr>
                <w:rFonts w:eastAsia="Calibri"/>
                <w:color w:val="000000"/>
                <w:sz w:val="22"/>
                <w:szCs w:val="22"/>
                <w:shd w:val="clear" w:color="auto" w:fill="FFFFFF"/>
                <w:lang w:val="en-US"/>
              </w:rPr>
              <w:t>Craig, P. (1998). Ultra Vires and the Foundations of Judicial Review. </w:t>
            </w:r>
            <w:r w:rsidRPr="00EF00A0">
              <w:rPr>
                <w:rFonts w:eastAsia="Calibri"/>
                <w:i/>
                <w:iCs/>
                <w:color w:val="000000"/>
                <w:sz w:val="22"/>
                <w:szCs w:val="22"/>
                <w:shd w:val="clear" w:color="auto" w:fill="FFFFFF"/>
                <w:lang w:val="en-US"/>
              </w:rPr>
              <w:t>The Cambridge Law Journal</w:t>
            </w:r>
            <w:r w:rsidRPr="00EF00A0">
              <w:rPr>
                <w:rFonts w:eastAsia="Calibri"/>
                <w:color w:val="000000"/>
                <w:sz w:val="22"/>
                <w:szCs w:val="22"/>
                <w:shd w:val="clear" w:color="auto" w:fill="FFFFFF"/>
                <w:lang w:val="en-US"/>
              </w:rPr>
              <w:t>, </w:t>
            </w:r>
            <w:r w:rsidRPr="00EF00A0">
              <w:rPr>
                <w:rFonts w:eastAsia="Calibri"/>
                <w:i/>
                <w:iCs/>
                <w:color w:val="000000"/>
                <w:sz w:val="22"/>
                <w:szCs w:val="22"/>
                <w:shd w:val="clear" w:color="auto" w:fill="FFFFFF"/>
                <w:lang w:val="en-US"/>
              </w:rPr>
              <w:t>57</w:t>
            </w:r>
            <w:r w:rsidRPr="00EF00A0">
              <w:rPr>
                <w:rFonts w:eastAsia="Calibri"/>
                <w:color w:val="000000"/>
                <w:sz w:val="22"/>
                <w:szCs w:val="22"/>
                <w:shd w:val="clear" w:color="auto" w:fill="FFFFFF"/>
                <w:lang w:val="en-US"/>
              </w:rPr>
              <w:t>(1), 63-90. doi: 10.1017/s0008197300134397</w:t>
            </w:r>
          </w:p>
          <w:p w:rsidR="00EF00A0" w:rsidRPr="00EF00A0" w:rsidRDefault="00EF00A0" w:rsidP="00701976">
            <w:pPr>
              <w:spacing w:after="0" w:line="240" w:lineRule="auto"/>
              <w:contextualSpacing w:val="0"/>
              <w:rPr>
                <w:rFonts w:eastAsia="Calibri"/>
                <w:sz w:val="22"/>
                <w:szCs w:val="22"/>
                <w:lang w:val="en-US"/>
              </w:rPr>
            </w:pP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r w:rsidRPr="00EF00A0">
              <w:rPr>
                <w:rFonts w:eastAsia="Calibri"/>
                <w:color w:val="000000"/>
                <w:sz w:val="22"/>
                <w:szCs w:val="22"/>
                <w:shd w:val="clear" w:color="auto" w:fill="FFFFFF"/>
                <w:lang w:val="en-US"/>
              </w:rPr>
              <w:t>Elliott, M. (1999). The Ultra Vires Doctrine in a Constitutional Setting: Still the Central Principle of Administrative Law. </w:t>
            </w:r>
            <w:r w:rsidRPr="00EF00A0">
              <w:rPr>
                <w:rFonts w:eastAsia="Calibri"/>
                <w:i/>
                <w:iCs/>
                <w:color w:val="000000"/>
                <w:sz w:val="22"/>
                <w:szCs w:val="22"/>
                <w:shd w:val="clear" w:color="auto" w:fill="FFFFFF"/>
                <w:lang w:val="en-US"/>
              </w:rPr>
              <w:t>The Cambridge Law Journal</w:t>
            </w:r>
            <w:r w:rsidRPr="00EF00A0">
              <w:rPr>
                <w:rFonts w:eastAsia="Calibri"/>
                <w:color w:val="000000"/>
                <w:sz w:val="22"/>
                <w:szCs w:val="22"/>
                <w:shd w:val="clear" w:color="auto" w:fill="FFFFFF"/>
                <w:lang w:val="en-US"/>
              </w:rPr>
              <w:t>, </w:t>
            </w:r>
            <w:r w:rsidRPr="00EF00A0">
              <w:rPr>
                <w:rFonts w:eastAsia="Calibri"/>
                <w:i/>
                <w:iCs/>
                <w:color w:val="000000"/>
                <w:sz w:val="22"/>
                <w:szCs w:val="22"/>
                <w:shd w:val="clear" w:color="auto" w:fill="FFFFFF"/>
                <w:lang w:val="en-US"/>
              </w:rPr>
              <w:t>58</w:t>
            </w:r>
            <w:r w:rsidRPr="00EF00A0">
              <w:rPr>
                <w:rFonts w:eastAsia="Calibri"/>
                <w:color w:val="000000"/>
                <w:sz w:val="22"/>
                <w:szCs w:val="22"/>
                <w:shd w:val="clear" w:color="auto" w:fill="FFFFFF"/>
                <w:lang w:val="en-US"/>
              </w:rPr>
              <w:t>(1), 129-158. doi: 10.1017/s0008197399001075</w:t>
            </w: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r w:rsidRPr="00EF00A0">
              <w:rPr>
                <w:rFonts w:eastAsia="Calibri"/>
                <w:color w:val="000000"/>
                <w:sz w:val="22"/>
                <w:szCs w:val="22"/>
                <w:shd w:val="clear" w:color="auto" w:fill="FFFFFF"/>
                <w:lang w:val="en-US"/>
              </w:rPr>
              <w:t>Gomez, M. (2001). 'The Modern Benchmarks Of Sri Lankan Public Law'. </w:t>
            </w:r>
            <w:r w:rsidRPr="00EF00A0">
              <w:rPr>
                <w:rFonts w:eastAsia="Calibri"/>
                <w:i/>
                <w:iCs/>
                <w:color w:val="000000"/>
                <w:sz w:val="22"/>
                <w:szCs w:val="22"/>
                <w:shd w:val="clear" w:color="auto" w:fill="FFFFFF"/>
                <w:lang w:val="en-US"/>
              </w:rPr>
              <w:t>South African Law Journal</w:t>
            </w:r>
            <w:r w:rsidRPr="00EF00A0">
              <w:rPr>
                <w:rFonts w:eastAsia="Calibri"/>
                <w:color w:val="000000"/>
                <w:sz w:val="22"/>
                <w:szCs w:val="22"/>
                <w:shd w:val="clear" w:color="auto" w:fill="FFFFFF"/>
                <w:lang w:val="en-US"/>
              </w:rPr>
              <w:t>, </w:t>
            </w:r>
            <w:r w:rsidRPr="00EF00A0">
              <w:rPr>
                <w:rFonts w:eastAsia="Calibri"/>
                <w:i/>
                <w:iCs/>
                <w:color w:val="000000"/>
                <w:sz w:val="22"/>
                <w:szCs w:val="22"/>
                <w:shd w:val="clear" w:color="auto" w:fill="FFFFFF"/>
                <w:lang w:val="en-US"/>
              </w:rPr>
              <w:t>118</w:t>
            </w:r>
            <w:r w:rsidRPr="00EF00A0">
              <w:rPr>
                <w:rFonts w:eastAsia="Calibri"/>
                <w:color w:val="000000"/>
                <w:sz w:val="22"/>
                <w:szCs w:val="22"/>
                <w:shd w:val="clear" w:color="auto" w:fill="FFFFFF"/>
                <w:lang w:val="en-US"/>
              </w:rPr>
              <w:t xml:space="preserve">. </w:t>
            </w: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p>
          <w:p w:rsidR="00EF00A0" w:rsidRPr="00EF00A0" w:rsidRDefault="00EF00A0" w:rsidP="00701976">
            <w:pPr>
              <w:spacing w:after="0" w:line="240" w:lineRule="auto"/>
              <w:contextualSpacing w:val="0"/>
              <w:rPr>
                <w:rFonts w:eastAsia="Calibri"/>
                <w:sz w:val="22"/>
                <w:szCs w:val="22"/>
                <w:lang w:val="en-US"/>
              </w:rPr>
            </w:pPr>
            <w:r w:rsidRPr="00EF00A0">
              <w:rPr>
                <w:rFonts w:eastAsia="Calibri"/>
                <w:color w:val="000000"/>
                <w:sz w:val="22"/>
                <w:szCs w:val="22"/>
                <w:shd w:val="clear" w:color="auto" w:fill="FFFFFF"/>
                <w:lang w:val="en-US"/>
              </w:rPr>
              <w:t>Gomez, M. (2007). 'Blending rights with Writs: Sri Lankan Public Law's New Brew'. </w:t>
            </w:r>
            <w:r w:rsidRPr="00EF00A0">
              <w:rPr>
                <w:rFonts w:eastAsia="Calibri"/>
                <w:i/>
                <w:iCs/>
                <w:color w:val="000000"/>
                <w:sz w:val="22"/>
                <w:szCs w:val="22"/>
                <w:shd w:val="clear" w:color="auto" w:fill="FFFFFF"/>
                <w:lang w:val="en-US"/>
              </w:rPr>
              <w:t>Acta Juridica</w:t>
            </w:r>
            <w:r w:rsidRPr="00EF00A0">
              <w:rPr>
                <w:rFonts w:eastAsia="Calibri"/>
                <w:color w:val="000000"/>
                <w:sz w:val="22"/>
                <w:szCs w:val="22"/>
                <w:shd w:val="clear" w:color="auto" w:fill="FFFFFF"/>
                <w:lang w:val="en-US"/>
              </w:rPr>
              <w:t>.</w:t>
            </w:r>
          </w:p>
          <w:p w:rsidR="00EF00A0" w:rsidRPr="00EF00A0" w:rsidRDefault="00EF00A0" w:rsidP="00701976">
            <w:pPr>
              <w:spacing w:after="0" w:line="240" w:lineRule="auto"/>
              <w:contextualSpacing w:val="0"/>
              <w:rPr>
                <w:rFonts w:eastAsia="Calibri"/>
                <w:sz w:val="22"/>
                <w:szCs w:val="22"/>
                <w:lang w:val="en-US"/>
              </w:rPr>
            </w:pP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r w:rsidRPr="00EF00A0">
              <w:rPr>
                <w:rFonts w:eastAsia="Calibri"/>
                <w:color w:val="000000"/>
                <w:sz w:val="22"/>
                <w:szCs w:val="22"/>
                <w:shd w:val="clear" w:color="auto" w:fill="FFFFFF"/>
                <w:lang w:val="en-US"/>
              </w:rPr>
              <w:t>Marsoof, S. (2005). 'The Expanding Canvas Of Judicial Review'. </w:t>
            </w:r>
            <w:r w:rsidRPr="00EF00A0">
              <w:rPr>
                <w:rFonts w:eastAsia="Calibri"/>
                <w:i/>
                <w:iCs/>
                <w:color w:val="000000"/>
                <w:sz w:val="22"/>
                <w:szCs w:val="22"/>
                <w:shd w:val="clear" w:color="auto" w:fill="FFFFFF"/>
                <w:lang w:val="en-US"/>
              </w:rPr>
              <w:t>The Bar Association Law Journal.</w:t>
            </w:r>
            <w:r w:rsidRPr="00EF00A0">
              <w:rPr>
                <w:rFonts w:eastAsia="Calibri"/>
                <w:color w:val="000000"/>
                <w:sz w:val="22"/>
                <w:szCs w:val="22"/>
                <w:shd w:val="clear" w:color="auto" w:fill="FFFFFF"/>
                <w:lang w:val="en-US"/>
              </w:rPr>
              <w:t>, </w:t>
            </w:r>
            <w:r w:rsidRPr="00EF00A0">
              <w:rPr>
                <w:rFonts w:eastAsia="Calibri"/>
                <w:i/>
                <w:iCs/>
                <w:color w:val="000000"/>
                <w:sz w:val="22"/>
                <w:szCs w:val="22"/>
                <w:shd w:val="clear" w:color="auto" w:fill="FFFFFF"/>
                <w:lang w:val="en-US"/>
              </w:rPr>
              <w:t>11</w:t>
            </w:r>
            <w:r w:rsidRPr="00EF00A0">
              <w:rPr>
                <w:rFonts w:eastAsia="Calibri"/>
                <w:color w:val="000000"/>
                <w:sz w:val="22"/>
                <w:szCs w:val="22"/>
                <w:shd w:val="clear" w:color="auto" w:fill="FFFFFF"/>
                <w:lang w:val="en-US"/>
              </w:rPr>
              <w:t>.</w:t>
            </w:r>
          </w:p>
          <w:p w:rsidR="00EF00A0" w:rsidRPr="00EF00A0" w:rsidRDefault="00EF00A0" w:rsidP="00701976">
            <w:pPr>
              <w:spacing w:after="0" w:line="240" w:lineRule="auto"/>
              <w:contextualSpacing w:val="0"/>
              <w:rPr>
                <w:rFonts w:eastAsia="Calibri"/>
                <w:color w:val="000000"/>
                <w:sz w:val="22"/>
                <w:szCs w:val="22"/>
                <w:shd w:val="clear" w:color="auto" w:fill="FFFFFF"/>
                <w:lang w:val="en-US"/>
              </w:rPr>
            </w:pPr>
          </w:p>
          <w:p w:rsidR="00FD2149" w:rsidRPr="00192189" w:rsidRDefault="00FD2149" w:rsidP="00701976">
            <w:pPr>
              <w:pStyle w:val="Default"/>
              <w:jc w:val="both"/>
              <w:rPr>
                <w:rFonts w:ascii="Times New Roman" w:hAnsi="Times New Roman" w:cs="Times New Roman"/>
                <w:sz w:val="22"/>
                <w:szCs w:val="22"/>
              </w:rPr>
            </w:pPr>
          </w:p>
        </w:tc>
      </w:tr>
    </w:tbl>
    <w:p w:rsidR="008220D3" w:rsidRDefault="008220D3" w:rsidP="00701976">
      <w:pPr>
        <w:pStyle w:val="ACSHeading"/>
        <w:jc w:val="both"/>
      </w:pPr>
    </w:p>
    <w:p w:rsidR="008220D3" w:rsidRPr="00341281" w:rsidRDefault="008220D3" w:rsidP="00701976">
      <w:pPr>
        <w:pStyle w:val="Default"/>
        <w:jc w:val="both"/>
        <w:rPr>
          <w:rFonts w:ascii="Times New Roman" w:hAnsi="Times New Roman" w:cs="Times New Roman"/>
          <w:color w:val="auto"/>
          <w:sz w:val="22"/>
          <w:szCs w:val="22"/>
        </w:rPr>
      </w:pPr>
    </w:p>
    <w:p w:rsidR="00701976" w:rsidRPr="00341281" w:rsidRDefault="00701976">
      <w:pPr>
        <w:pStyle w:val="Default"/>
        <w:jc w:val="both"/>
        <w:rPr>
          <w:rFonts w:ascii="Times New Roman" w:hAnsi="Times New Roman" w:cs="Times New Roman"/>
          <w:color w:val="auto"/>
          <w:sz w:val="22"/>
          <w:szCs w:val="22"/>
        </w:rPr>
      </w:pPr>
    </w:p>
    <w:sectPr w:rsidR="00701976" w:rsidRPr="00341281" w:rsidSect="006C5020">
      <w:headerReference w:type="even" r:id="rId8"/>
      <w:headerReference w:type="default" r:id="rId9"/>
      <w:footerReference w:type="even" r:id="rId10"/>
      <w:footerReference w:type="default" r:id="rId11"/>
      <w:footerReference w:type="first" r:id="rId12"/>
      <w:pgSz w:w="11906" w:h="16838" w:code="9"/>
      <w:pgMar w:top="1440" w:right="1440" w:bottom="1440" w:left="2160" w:header="1138" w:footer="1138"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187" w:rsidRDefault="00D96187" w:rsidP="0053413C">
      <w:pPr>
        <w:spacing w:after="0" w:line="240" w:lineRule="auto"/>
      </w:pPr>
      <w:r>
        <w:separator/>
      </w:r>
    </w:p>
  </w:endnote>
  <w:endnote w:type="continuationSeparator" w:id="0">
    <w:p w:rsidR="00D96187" w:rsidRDefault="00D96187" w:rsidP="0053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Iskoola Pota">
    <w:panose1 w:val="02010503010101010104"/>
    <w:charset w:val="00"/>
    <w:family w:val="swiss"/>
    <w:pitch w:val="variable"/>
    <w:sig w:usb0="800000AF" w:usb1="40002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62" w:rsidRPr="00D06C40" w:rsidRDefault="001A1D93" w:rsidP="00730F07">
    <w:pPr>
      <w:pStyle w:val="Footer"/>
      <w:pBdr>
        <w:top w:val="single" w:sz="4" w:space="0" w:color="auto"/>
      </w:pBdr>
      <w:tabs>
        <w:tab w:val="clear" w:pos="9026"/>
        <w:tab w:val="right" w:pos="8280"/>
      </w:tabs>
      <w:jc w:val="left"/>
      <w:rPr>
        <w:sz w:val="16"/>
        <w:szCs w:val="16"/>
      </w:rPr>
    </w:pPr>
    <w:r w:rsidRPr="00D06C40">
      <w:rPr>
        <w:sz w:val="16"/>
        <w:szCs w:val="16"/>
      </w:rPr>
      <w:fldChar w:fldCharType="begin"/>
    </w:r>
    <w:r w:rsidRPr="00D06C40">
      <w:rPr>
        <w:sz w:val="16"/>
        <w:szCs w:val="16"/>
      </w:rPr>
      <w:instrText xml:space="preserve"> PAGE   \* MERGEFORMAT </w:instrText>
    </w:r>
    <w:r w:rsidRPr="00D06C40">
      <w:rPr>
        <w:sz w:val="16"/>
        <w:szCs w:val="16"/>
      </w:rPr>
      <w:fldChar w:fldCharType="separate"/>
    </w:r>
    <w:r w:rsidR="001C2F66">
      <w:rPr>
        <w:noProof/>
        <w:sz w:val="16"/>
        <w:szCs w:val="16"/>
      </w:rPr>
      <w:t>4</w:t>
    </w:r>
    <w:r w:rsidRPr="00D06C40">
      <w:rPr>
        <w:sz w:val="16"/>
        <w:szCs w:val="16"/>
      </w:rPr>
      <w:fldChar w:fldCharType="end"/>
    </w:r>
    <w:r w:rsidR="007925F3">
      <w:rPr>
        <w:sz w:val="16"/>
        <w:szCs w:val="16"/>
      </w:rPr>
      <w:t xml:space="preserve">                                  </w:t>
    </w:r>
    <w:r w:rsidR="007925F3">
      <w:rPr>
        <w:sz w:val="16"/>
        <w:szCs w:val="16"/>
      </w:rPr>
      <w:tab/>
    </w:r>
    <w:r w:rsidR="007925F3">
      <w:rPr>
        <w:sz w:val="16"/>
        <w:szCs w:val="16"/>
      </w:rPr>
      <w:tab/>
    </w:r>
    <w:r w:rsidR="007925F3" w:rsidRPr="007925F3">
      <w:rPr>
        <w:i/>
        <w:sz w:val="16"/>
        <w:szCs w:val="16"/>
      </w:rPr>
      <w:t xml:space="preserve">ISSN 2012-9916 </w:t>
    </w:r>
    <w:r w:rsidR="007925F3" w:rsidRPr="007925F3">
      <w:rPr>
        <w:rFonts w:hint="eastAsia"/>
        <w:i/>
        <w:sz w:val="16"/>
        <w:szCs w:val="16"/>
        <w:lang w:eastAsia="zh-CN"/>
      </w:rPr>
      <w:t>©</w:t>
    </w:r>
    <w:r w:rsidR="007925F3" w:rsidRPr="007925F3">
      <w:rPr>
        <w:i/>
        <w:sz w:val="16"/>
        <w:szCs w:val="16"/>
        <w:lang w:eastAsia="zh-CN"/>
      </w:rPr>
      <w:t xml:space="preserve"> The Open University of Sri Lanka</w:t>
    </w:r>
    <w:r w:rsidRPr="00D06C40">
      <w:rPr>
        <w:sz w:val="16"/>
        <w:szCs w:val="16"/>
      </w:rPr>
      <w:tab/>
      <w:t xml:space="preserve">   </w:t>
    </w:r>
    <w:r w:rsidR="003A3AA1" w:rsidRPr="00D06C40">
      <w:rPr>
        <w:sz w:val="16"/>
        <w:szCs w:val="16"/>
      </w:rPr>
      <w:t xml:space="preserve">                               </w:t>
    </w:r>
    <w:r w:rsidRPr="00D06C40">
      <w:rPr>
        <w:sz w:val="16"/>
        <w:szCs w:val="16"/>
      </w:rPr>
      <w:t xml:space="preserve"> </w:t>
    </w:r>
    <w:r w:rsidR="00730F07" w:rsidRPr="00D06C40">
      <w:rPr>
        <w:sz w:val="16"/>
        <w:szCs w:val="16"/>
      </w:rPr>
      <w:t xml:space="preserve">                                      </w:t>
    </w:r>
    <w:r w:rsidR="00D06C40">
      <w:rPr>
        <w:sz w:val="16"/>
        <w:szCs w:val="16"/>
      </w:rPr>
      <w:t xml:space="preserve">                                             </w:t>
    </w:r>
    <w:r w:rsidR="00D91916">
      <w:rPr>
        <w:sz w:val="16"/>
        <w:szCs w:val="16"/>
      </w:rPr>
      <w:t xml:space="preserve">                  </w:t>
    </w:r>
    <w:r w:rsidR="007610C3">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62" w:rsidRPr="00D06C40" w:rsidRDefault="007610C3" w:rsidP="00730F07">
    <w:pPr>
      <w:pStyle w:val="Footer"/>
      <w:pBdr>
        <w:top w:val="single" w:sz="4" w:space="1" w:color="auto"/>
      </w:pBdr>
      <w:tabs>
        <w:tab w:val="clear" w:pos="9026"/>
        <w:tab w:val="right" w:pos="8190"/>
      </w:tabs>
      <w:jc w:val="left"/>
      <w:rPr>
        <w:sz w:val="16"/>
        <w:szCs w:val="16"/>
      </w:rPr>
    </w:pPr>
    <w:r>
      <w:rPr>
        <w:sz w:val="16"/>
        <w:szCs w:val="16"/>
      </w:rPr>
      <w:t xml:space="preserve"> </w:t>
    </w:r>
    <w:r w:rsidR="003A1E14">
      <w:rPr>
        <w:i/>
        <w:sz w:val="16"/>
        <w:szCs w:val="16"/>
      </w:rPr>
      <w:t>ISSN 2012-9912</w:t>
    </w:r>
    <w:r w:rsidR="007925F3" w:rsidRPr="007925F3">
      <w:rPr>
        <w:i/>
        <w:sz w:val="16"/>
        <w:szCs w:val="16"/>
      </w:rPr>
      <w:t xml:space="preserve"> </w:t>
    </w:r>
    <w:r w:rsidR="007925F3" w:rsidRPr="007925F3">
      <w:rPr>
        <w:rFonts w:hint="eastAsia"/>
        <w:i/>
        <w:sz w:val="16"/>
        <w:szCs w:val="16"/>
        <w:lang w:eastAsia="zh-CN"/>
      </w:rPr>
      <w:t>©</w:t>
    </w:r>
    <w:r w:rsidR="007925F3" w:rsidRPr="007925F3">
      <w:rPr>
        <w:i/>
        <w:sz w:val="16"/>
        <w:szCs w:val="16"/>
        <w:lang w:eastAsia="zh-CN"/>
      </w:rPr>
      <w:t xml:space="preserve"> The Open University of Sri Lanka</w:t>
    </w:r>
    <w:r w:rsidR="00040ED7" w:rsidRPr="00D06C40">
      <w:rPr>
        <w:sz w:val="16"/>
        <w:szCs w:val="16"/>
      </w:rPr>
      <w:t xml:space="preserve"> </w:t>
    </w:r>
    <w:r w:rsidR="00730F07" w:rsidRPr="00D06C40">
      <w:rPr>
        <w:sz w:val="16"/>
        <w:szCs w:val="16"/>
      </w:rPr>
      <w:tab/>
    </w:r>
    <w:r w:rsidR="003A3AA1" w:rsidRPr="00D06C40">
      <w:rPr>
        <w:sz w:val="16"/>
        <w:szCs w:val="16"/>
      </w:rPr>
      <w:t xml:space="preserve">   </w:t>
    </w:r>
    <w:r w:rsidR="00730F07" w:rsidRPr="00D06C40">
      <w:rPr>
        <w:sz w:val="16"/>
        <w:szCs w:val="16"/>
      </w:rPr>
      <w:tab/>
    </w:r>
    <w:r w:rsidR="003A3AA1" w:rsidRPr="00D06C40">
      <w:rPr>
        <w:sz w:val="16"/>
        <w:szCs w:val="16"/>
      </w:rPr>
      <w:t xml:space="preserve"> </w:t>
    </w:r>
    <w:r w:rsidR="00040ED7" w:rsidRPr="00D06C40">
      <w:rPr>
        <w:sz w:val="16"/>
        <w:szCs w:val="16"/>
      </w:rPr>
      <w:fldChar w:fldCharType="begin"/>
    </w:r>
    <w:r w:rsidR="00040ED7" w:rsidRPr="00D06C40">
      <w:rPr>
        <w:sz w:val="16"/>
        <w:szCs w:val="16"/>
      </w:rPr>
      <w:instrText xml:space="preserve"> PAGE   \* MERGEFORMAT </w:instrText>
    </w:r>
    <w:r w:rsidR="00040ED7" w:rsidRPr="00D06C40">
      <w:rPr>
        <w:sz w:val="16"/>
        <w:szCs w:val="16"/>
      </w:rPr>
      <w:fldChar w:fldCharType="separate"/>
    </w:r>
    <w:r w:rsidR="000C265C">
      <w:rPr>
        <w:noProof/>
        <w:sz w:val="16"/>
        <w:szCs w:val="16"/>
      </w:rPr>
      <w:t>5</w:t>
    </w:r>
    <w:r w:rsidR="00040ED7" w:rsidRPr="00D06C40">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13C" w:rsidRPr="0053413C" w:rsidRDefault="004B74B4" w:rsidP="001A1D93">
    <w:pPr>
      <w:pStyle w:val="Footer"/>
      <w:pBdr>
        <w:top w:val="single" w:sz="4" w:space="1" w:color="auto"/>
      </w:pBdr>
      <w:tabs>
        <w:tab w:val="clear" w:pos="9026"/>
        <w:tab w:val="right" w:pos="8280"/>
      </w:tabs>
      <w:jc w:val="left"/>
      <w:rPr>
        <w:rFonts w:ascii="Book Antiqua" w:hAnsi="Book Antiqua"/>
      </w:rPr>
    </w:pPr>
    <w:r>
      <w:rPr>
        <w:rFonts w:ascii="Book Antiqua" w:hAnsi="Book Antiqua"/>
        <w:noProof/>
        <w:sz w:val="20"/>
        <w:szCs w:val="20"/>
        <w:lang w:val="en-US" w:bidi="si-LK"/>
      </w:rPr>
      <w:drawing>
        <wp:anchor distT="0" distB="0" distL="114300" distR="114300" simplePos="0" relativeHeight="251656704" behindDoc="0" locked="0" layoutInCell="1" allowOverlap="1" wp14:anchorId="09AA4BA1" wp14:editId="65241BCE">
          <wp:simplePos x="0" y="0"/>
          <wp:positionH relativeFrom="column">
            <wp:posOffset>-238125</wp:posOffset>
          </wp:positionH>
          <wp:positionV relativeFrom="paragraph">
            <wp:posOffset>-71755</wp:posOffset>
          </wp:positionV>
          <wp:extent cx="205105" cy="295275"/>
          <wp:effectExtent l="0" t="0" r="4445" b="9525"/>
          <wp:wrapSquare wrapText="bothSides"/>
          <wp:docPr id="2" name="Picture 1" descr="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413C" w:rsidRPr="0053413C">
      <w:rPr>
        <w:rFonts w:ascii="Book Antiqua" w:hAnsi="Book Antiqua"/>
        <w:sz w:val="20"/>
        <w:szCs w:val="20"/>
      </w:rPr>
      <w:t xml:space="preserve">PYU3266 – Essentials of Geology </w:t>
    </w:r>
    <w:r w:rsidR="0053413C" w:rsidRPr="0053413C">
      <w:rPr>
        <w:rFonts w:ascii="Book Antiqua" w:hAnsi="Book Antiqua"/>
        <w:sz w:val="20"/>
        <w:szCs w:val="20"/>
      </w:rPr>
      <w:tab/>
    </w:r>
    <w:r w:rsidR="0053413C">
      <w:tab/>
    </w:r>
    <w:r w:rsidR="0053413C" w:rsidRPr="0053413C">
      <w:rPr>
        <w:rFonts w:ascii="Book Antiqua" w:hAnsi="Book Antiqua"/>
      </w:rPr>
      <w:fldChar w:fldCharType="begin"/>
    </w:r>
    <w:r w:rsidR="0053413C" w:rsidRPr="0053413C">
      <w:rPr>
        <w:rFonts w:ascii="Book Antiqua" w:hAnsi="Book Antiqua"/>
      </w:rPr>
      <w:instrText xml:space="preserve"> PAGE   \* MERGEFORMAT </w:instrText>
    </w:r>
    <w:r w:rsidR="0053413C" w:rsidRPr="0053413C">
      <w:rPr>
        <w:rFonts w:ascii="Book Antiqua" w:hAnsi="Book Antiqua"/>
      </w:rPr>
      <w:fldChar w:fldCharType="separate"/>
    </w:r>
    <w:r w:rsidR="00AA2304">
      <w:rPr>
        <w:rFonts w:ascii="Book Antiqua" w:hAnsi="Book Antiqua"/>
        <w:noProof/>
      </w:rPr>
      <w:t>5</w:t>
    </w:r>
    <w:r w:rsidR="0053413C" w:rsidRPr="0053413C">
      <w:rPr>
        <w:rFonts w:ascii="Book Antiqua" w:hAnsi="Book Antiqua"/>
      </w:rPr>
      <w:fldChar w:fldCharType="end"/>
    </w:r>
  </w:p>
  <w:p w:rsidR="0053413C" w:rsidRDefault="0053413C">
    <w:pPr>
      <w:pStyle w:val="Footer"/>
    </w:pPr>
  </w:p>
  <w:p w:rsidR="00387562" w:rsidRDefault="00387562"/>
  <w:p w:rsidR="00387562" w:rsidRDefault="003875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187" w:rsidRDefault="00D96187" w:rsidP="0053413C">
      <w:pPr>
        <w:spacing w:after="0" w:line="240" w:lineRule="auto"/>
      </w:pPr>
      <w:r>
        <w:separator/>
      </w:r>
    </w:p>
  </w:footnote>
  <w:footnote w:type="continuationSeparator" w:id="0">
    <w:p w:rsidR="00D96187" w:rsidRDefault="00D96187" w:rsidP="0053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F3" w:rsidRPr="007925F3" w:rsidRDefault="004B74B4" w:rsidP="007925F3">
    <w:pPr>
      <w:pStyle w:val="Header"/>
      <w:pBdr>
        <w:bottom w:val="single" w:sz="4" w:space="1" w:color="auto"/>
      </w:pBdr>
      <w:jc w:val="right"/>
      <w:rPr>
        <w:i/>
        <w:sz w:val="16"/>
        <w:szCs w:val="16"/>
      </w:rPr>
    </w:pPr>
    <w:r>
      <w:rPr>
        <w:i/>
        <w:noProof/>
        <w:sz w:val="16"/>
        <w:szCs w:val="16"/>
        <w:lang w:val="en-US" w:bidi="si-LK"/>
      </w:rPr>
      <w:drawing>
        <wp:anchor distT="0" distB="0" distL="114300" distR="114300" simplePos="0" relativeHeight="251658752" behindDoc="0" locked="0" layoutInCell="1" allowOverlap="1" wp14:anchorId="2E5CDCEA" wp14:editId="3B93BB6C">
          <wp:simplePos x="0" y="0"/>
          <wp:positionH relativeFrom="column">
            <wp:posOffset>4445</wp:posOffset>
          </wp:positionH>
          <wp:positionV relativeFrom="paragraph">
            <wp:posOffset>-198755</wp:posOffset>
          </wp:positionV>
          <wp:extent cx="266700" cy="39624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5F3" w:rsidRPr="007925F3">
      <w:rPr>
        <w:i/>
        <w:sz w:val="16"/>
        <w:szCs w:val="16"/>
      </w:rPr>
      <w:t xml:space="preserve">Proceeding of the </w:t>
    </w:r>
    <w:r w:rsidR="00E713DE">
      <w:rPr>
        <w:i/>
        <w:sz w:val="16"/>
        <w:szCs w:val="16"/>
      </w:rPr>
      <w:t>15</w:t>
    </w:r>
    <w:r w:rsidR="00E713DE" w:rsidRPr="00E713DE">
      <w:rPr>
        <w:i/>
        <w:sz w:val="16"/>
        <w:szCs w:val="16"/>
        <w:vertAlign w:val="superscript"/>
      </w:rPr>
      <w:t>th</w:t>
    </w:r>
    <w:r w:rsidR="00E713DE">
      <w:rPr>
        <w:i/>
        <w:sz w:val="16"/>
        <w:szCs w:val="16"/>
      </w:rPr>
      <w:t xml:space="preserve"> </w:t>
    </w:r>
    <w:r w:rsidR="007925F3" w:rsidRPr="007925F3">
      <w:rPr>
        <w:i/>
        <w:sz w:val="16"/>
        <w:szCs w:val="16"/>
      </w:rPr>
      <w:t>Open University Research Sessions (OURS 2017)</w:t>
    </w:r>
  </w:p>
  <w:p w:rsidR="007925F3" w:rsidRPr="007925F3" w:rsidRDefault="007925F3" w:rsidP="007925F3">
    <w:pPr>
      <w:pStyle w:val="Header"/>
      <w:pBdr>
        <w:bottom w:val="single" w:sz="4" w:space="1" w:color="auto"/>
      </w:pBdr>
      <w:jc w:val="right"/>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25F3" w:rsidRPr="007925F3" w:rsidRDefault="004B74B4" w:rsidP="007925F3">
    <w:pPr>
      <w:pStyle w:val="Header"/>
      <w:pBdr>
        <w:bottom w:val="single" w:sz="4" w:space="1" w:color="auto"/>
      </w:pBdr>
      <w:rPr>
        <w:i/>
        <w:sz w:val="16"/>
        <w:szCs w:val="16"/>
      </w:rPr>
    </w:pPr>
    <w:r>
      <w:rPr>
        <w:noProof/>
        <w:lang w:val="en-US" w:bidi="si-LK"/>
      </w:rPr>
      <w:drawing>
        <wp:anchor distT="0" distB="0" distL="114300" distR="114300" simplePos="0" relativeHeight="251657728" behindDoc="0" locked="0" layoutInCell="1" allowOverlap="1" wp14:anchorId="2D8A03D7" wp14:editId="22C20E46">
          <wp:simplePos x="0" y="0"/>
          <wp:positionH relativeFrom="column">
            <wp:posOffset>4999355</wp:posOffset>
          </wp:positionH>
          <wp:positionV relativeFrom="paragraph">
            <wp:posOffset>-215900</wp:posOffset>
          </wp:positionV>
          <wp:extent cx="266700" cy="3962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5F3" w:rsidRPr="007925F3">
      <w:rPr>
        <w:i/>
        <w:sz w:val="16"/>
        <w:szCs w:val="16"/>
      </w:rPr>
      <w:t>Proceeding of the Open University Research Sessions (</w:t>
    </w:r>
    <w:r w:rsidR="003A1E14">
      <w:rPr>
        <w:i/>
        <w:sz w:val="16"/>
        <w:szCs w:val="16"/>
      </w:rPr>
      <w:t>OURS 2019</w:t>
    </w:r>
    <w:r w:rsidR="007925F3" w:rsidRPr="007925F3">
      <w:rPr>
        <w:i/>
        <w:sz w:val="16"/>
        <w:szCs w:val="16"/>
      </w:rPr>
      <w:t>)</w:t>
    </w:r>
  </w:p>
  <w:p w:rsidR="007925F3" w:rsidRPr="007925F3" w:rsidRDefault="007925F3" w:rsidP="007925F3">
    <w:pPr>
      <w:pStyle w:val="Header"/>
      <w:pBdr>
        <w:bottom w:val="single" w:sz="4" w:space="1" w:color="auto"/>
      </w:pBdr>
      <w:rPr>
        <w:i/>
        <w:sz w:val="16"/>
        <w:szCs w:val="16"/>
      </w:rPr>
    </w:pPr>
  </w:p>
  <w:p w:rsidR="00387562" w:rsidRPr="007925F3" w:rsidRDefault="00387562" w:rsidP="007925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1461E"/>
    <w:multiLevelType w:val="hybridMultilevel"/>
    <w:tmpl w:val="BCB6459E"/>
    <w:lvl w:ilvl="0" w:tplc="8938CC00">
      <w:start w:val="6"/>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7C7DF3"/>
    <w:multiLevelType w:val="multilevel"/>
    <w:tmpl w:val="3A42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33D3B"/>
    <w:multiLevelType w:val="hybridMultilevel"/>
    <w:tmpl w:val="609A4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DA528C"/>
    <w:multiLevelType w:val="hybridMultilevel"/>
    <w:tmpl w:val="0B9A7710"/>
    <w:lvl w:ilvl="0" w:tplc="110EC1C0">
      <w:start w:val="1"/>
      <w:numFmt w:val="none"/>
      <w:lvlText w:val="[6]"/>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45D5B1D"/>
    <w:multiLevelType w:val="hybridMultilevel"/>
    <w:tmpl w:val="722A3C5C"/>
    <w:lvl w:ilvl="0" w:tplc="498834D2">
      <w:start w:val="1"/>
      <w:numFmt w:val="decimal"/>
      <w:lvlText w:val="[%1]"/>
      <w:lvlJc w:val="left"/>
      <w:pPr>
        <w:tabs>
          <w:tab w:val="num" w:pos="510"/>
        </w:tabs>
        <w:snapToGrid w:val="0"/>
        <w:ind w:left="510" w:hanging="420"/>
      </w:pPr>
      <w:rPr>
        <w:rFonts w:ascii="Times New Roman" w:hAnsi="Times New Roman" w:cs="Times New Roman" w:hint="default"/>
        <w:b w:val="0"/>
        <w:i w:val="0"/>
        <w:kern w:val="0"/>
        <w:sz w:val="18"/>
        <w:szCs w:val="18"/>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54C602D5"/>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7ED6B97"/>
    <w:multiLevelType w:val="hybridMultilevel"/>
    <w:tmpl w:val="A16C1D5C"/>
    <w:lvl w:ilvl="0" w:tplc="92D808B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E4A0AB4"/>
    <w:multiLevelType w:val="hybridMultilevel"/>
    <w:tmpl w:val="BA48F10A"/>
    <w:lvl w:ilvl="0" w:tplc="3A9E2856">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62F72C4"/>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6AF61FFA"/>
    <w:multiLevelType w:val="hybridMultilevel"/>
    <w:tmpl w:val="0278F32E"/>
    <w:lvl w:ilvl="0" w:tplc="1450B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C5BED"/>
    <w:multiLevelType w:val="hybridMultilevel"/>
    <w:tmpl w:val="C8A057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D32DA8"/>
    <w:multiLevelType w:val="singleLevel"/>
    <w:tmpl w:val="1D521D34"/>
    <w:lvl w:ilvl="0">
      <w:start w:val="1"/>
      <w:numFmt w:val="decimal"/>
      <w:pStyle w:val="tablehead"/>
      <w:lvlText w:val="Table %1. "/>
      <w:lvlJc w:val="left"/>
      <w:pPr>
        <w:tabs>
          <w:tab w:val="num" w:pos="5580"/>
        </w:tabs>
      </w:pPr>
      <w:rPr>
        <w:rFonts w:ascii="Times New Roman" w:hAnsi="Times New Roman" w:cs="Times New Roman" w:hint="default"/>
        <w:b w:val="0"/>
        <w:bCs w:val="0"/>
        <w:i w:val="0"/>
        <w:iCs w:val="0"/>
        <w:sz w:val="16"/>
        <w:szCs w:val="16"/>
      </w:rPr>
    </w:lvl>
  </w:abstractNum>
  <w:num w:numId="1">
    <w:abstractNumId w:val="11"/>
  </w:num>
  <w:num w:numId="2">
    <w:abstractNumId w:val="6"/>
  </w:num>
  <w:num w:numId="3">
    <w:abstractNumId w:val="9"/>
  </w:num>
  <w:num w:numId="4">
    <w:abstractNumId w:val="1"/>
  </w:num>
  <w:num w:numId="5">
    <w:abstractNumId w:val="7"/>
  </w:num>
  <w:num w:numId="6">
    <w:abstractNumId w:val="8"/>
  </w:num>
  <w:num w:numId="7">
    <w:abstractNumId w:val="12"/>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3C"/>
    <w:rsid w:val="00010401"/>
    <w:rsid w:val="0003589B"/>
    <w:rsid w:val="000358B7"/>
    <w:rsid w:val="0004073A"/>
    <w:rsid w:val="00040ED7"/>
    <w:rsid w:val="000432DA"/>
    <w:rsid w:val="000553CF"/>
    <w:rsid w:val="00075D49"/>
    <w:rsid w:val="00082C71"/>
    <w:rsid w:val="000A3143"/>
    <w:rsid w:val="000C1FE1"/>
    <w:rsid w:val="000C265C"/>
    <w:rsid w:val="000C4D73"/>
    <w:rsid w:val="0010020D"/>
    <w:rsid w:val="00107519"/>
    <w:rsid w:val="00107B52"/>
    <w:rsid w:val="00115A3F"/>
    <w:rsid w:val="00126D7E"/>
    <w:rsid w:val="001414DD"/>
    <w:rsid w:val="00160176"/>
    <w:rsid w:val="001666A3"/>
    <w:rsid w:val="0019517E"/>
    <w:rsid w:val="001979F4"/>
    <w:rsid w:val="001A1D93"/>
    <w:rsid w:val="001A76ED"/>
    <w:rsid w:val="001B4A18"/>
    <w:rsid w:val="001B5C87"/>
    <w:rsid w:val="001C2F66"/>
    <w:rsid w:val="001C6EFD"/>
    <w:rsid w:val="001F4E54"/>
    <w:rsid w:val="00201697"/>
    <w:rsid w:val="00211716"/>
    <w:rsid w:val="002171B3"/>
    <w:rsid w:val="002413F2"/>
    <w:rsid w:val="00256FDC"/>
    <w:rsid w:val="00266BC7"/>
    <w:rsid w:val="00272E1A"/>
    <w:rsid w:val="002824A5"/>
    <w:rsid w:val="002A7E5C"/>
    <w:rsid w:val="002B1FCA"/>
    <w:rsid w:val="002E6B95"/>
    <w:rsid w:val="00303BDD"/>
    <w:rsid w:val="003157EC"/>
    <w:rsid w:val="00333971"/>
    <w:rsid w:val="0033409D"/>
    <w:rsid w:val="003374BD"/>
    <w:rsid w:val="00340A0B"/>
    <w:rsid w:val="00341281"/>
    <w:rsid w:val="0034382A"/>
    <w:rsid w:val="00347340"/>
    <w:rsid w:val="00361DC5"/>
    <w:rsid w:val="003654A0"/>
    <w:rsid w:val="00383EE2"/>
    <w:rsid w:val="00387562"/>
    <w:rsid w:val="0039718C"/>
    <w:rsid w:val="003A1E14"/>
    <w:rsid w:val="003A3AA1"/>
    <w:rsid w:val="003A5DA7"/>
    <w:rsid w:val="003C030C"/>
    <w:rsid w:val="003E2B65"/>
    <w:rsid w:val="003E7528"/>
    <w:rsid w:val="003F7FCF"/>
    <w:rsid w:val="00415EB8"/>
    <w:rsid w:val="004361A5"/>
    <w:rsid w:val="004401E3"/>
    <w:rsid w:val="00455643"/>
    <w:rsid w:val="00474151"/>
    <w:rsid w:val="004A51C1"/>
    <w:rsid w:val="004B74B2"/>
    <w:rsid w:val="004B74B4"/>
    <w:rsid w:val="004C1E44"/>
    <w:rsid w:val="004C7A83"/>
    <w:rsid w:val="004D4263"/>
    <w:rsid w:val="00503451"/>
    <w:rsid w:val="0053413C"/>
    <w:rsid w:val="005559A5"/>
    <w:rsid w:val="00573C79"/>
    <w:rsid w:val="00592E6A"/>
    <w:rsid w:val="005A181C"/>
    <w:rsid w:val="005A785B"/>
    <w:rsid w:val="005B13D6"/>
    <w:rsid w:val="005C4678"/>
    <w:rsid w:val="005D4BE6"/>
    <w:rsid w:val="005D70A0"/>
    <w:rsid w:val="005E704A"/>
    <w:rsid w:val="0060619E"/>
    <w:rsid w:val="00616470"/>
    <w:rsid w:val="006236AB"/>
    <w:rsid w:val="00624DB0"/>
    <w:rsid w:val="0062711B"/>
    <w:rsid w:val="0064628C"/>
    <w:rsid w:val="00673A3A"/>
    <w:rsid w:val="006A7F02"/>
    <w:rsid w:val="006B1C31"/>
    <w:rsid w:val="006B3777"/>
    <w:rsid w:val="006C5020"/>
    <w:rsid w:val="006D08F3"/>
    <w:rsid w:val="006F1E2C"/>
    <w:rsid w:val="006F70B3"/>
    <w:rsid w:val="00701976"/>
    <w:rsid w:val="00714741"/>
    <w:rsid w:val="00717F80"/>
    <w:rsid w:val="007236E9"/>
    <w:rsid w:val="00730F07"/>
    <w:rsid w:val="00733F20"/>
    <w:rsid w:val="00741799"/>
    <w:rsid w:val="00754847"/>
    <w:rsid w:val="007610C3"/>
    <w:rsid w:val="00774320"/>
    <w:rsid w:val="00777403"/>
    <w:rsid w:val="00784462"/>
    <w:rsid w:val="007925F3"/>
    <w:rsid w:val="007966C7"/>
    <w:rsid w:val="007A16D9"/>
    <w:rsid w:val="007A3392"/>
    <w:rsid w:val="007A4178"/>
    <w:rsid w:val="007A7274"/>
    <w:rsid w:val="007D0393"/>
    <w:rsid w:val="007D61EE"/>
    <w:rsid w:val="007F1778"/>
    <w:rsid w:val="0080506E"/>
    <w:rsid w:val="00816D40"/>
    <w:rsid w:val="008220D3"/>
    <w:rsid w:val="00827047"/>
    <w:rsid w:val="00830417"/>
    <w:rsid w:val="00844AC9"/>
    <w:rsid w:val="008902E5"/>
    <w:rsid w:val="008A1295"/>
    <w:rsid w:val="008A1F41"/>
    <w:rsid w:val="008A722E"/>
    <w:rsid w:val="008C701A"/>
    <w:rsid w:val="008F3B2C"/>
    <w:rsid w:val="00900C21"/>
    <w:rsid w:val="00913C93"/>
    <w:rsid w:val="0093187C"/>
    <w:rsid w:val="009504A1"/>
    <w:rsid w:val="009707D0"/>
    <w:rsid w:val="00970E22"/>
    <w:rsid w:val="00981CB4"/>
    <w:rsid w:val="009854FB"/>
    <w:rsid w:val="00995B7C"/>
    <w:rsid w:val="009D56D3"/>
    <w:rsid w:val="009E36E8"/>
    <w:rsid w:val="009E47FD"/>
    <w:rsid w:val="00A15D21"/>
    <w:rsid w:val="00A3703B"/>
    <w:rsid w:val="00A43CC6"/>
    <w:rsid w:val="00A613C2"/>
    <w:rsid w:val="00AA2304"/>
    <w:rsid w:val="00AA5E5F"/>
    <w:rsid w:val="00AB23E1"/>
    <w:rsid w:val="00AB4B90"/>
    <w:rsid w:val="00AC4789"/>
    <w:rsid w:val="00AD189B"/>
    <w:rsid w:val="00AE2941"/>
    <w:rsid w:val="00AE3FDC"/>
    <w:rsid w:val="00AF5787"/>
    <w:rsid w:val="00B144CC"/>
    <w:rsid w:val="00B2087B"/>
    <w:rsid w:val="00B2640E"/>
    <w:rsid w:val="00B34FF9"/>
    <w:rsid w:val="00B37473"/>
    <w:rsid w:val="00B42F65"/>
    <w:rsid w:val="00B735E9"/>
    <w:rsid w:val="00B754D9"/>
    <w:rsid w:val="00B75A20"/>
    <w:rsid w:val="00B97ED7"/>
    <w:rsid w:val="00BB3A48"/>
    <w:rsid w:val="00BC568A"/>
    <w:rsid w:val="00BC6107"/>
    <w:rsid w:val="00C14FB9"/>
    <w:rsid w:val="00C26706"/>
    <w:rsid w:val="00C26CE8"/>
    <w:rsid w:val="00C360A8"/>
    <w:rsid w:val="00C57F7C"/>
    <w:rsid w:val="00C64ED2"/>
    <w:rsid w:val="00C6649D"/>
    <w:rsid w:val="00C671AF"/>
    <w:rsid w:val="00C85F07"/>
    <w:rsid w:val="00C93F4A"/>
    <w:rsid w:val="00CA704E"/>
    <w:rsid w:val="00CA7752"/>
    <w:rsid w:val="00CB2379"/>
    <w:rsid w:val="00CC6371"/>
    <w:rsid w:val="00CC6E98"/>
    <w:rsid w:val="00CD0972"/>
    <w:rsid w:val="00D06C40"/>
    <w:rsid w:val="00D13438"/>
    <w:rsid w:val="00D17507"/>
    <w:rsid w:val="00D3124E"/>
    <w:rsid w:val="00D3320A"/>
    <w:rsid w:val="00D457A3"/>
    <w:rsid w:val="00D847AE"/>
    <w:rsid w:val="00D91916"/>
    <w:rsid w:val="00D96187"/>
    <w:rsid w:val="00DE211D"/>
    <w:rsid w:val="00E10450"/>
    <w:rsid w:val="00E12D95"/>
    <w:rsid w:val="00E21066"/>
    <w:rsid w:val="00E35CDE"/>
    <w:rsid w:val="00E35D63"/>
    <w:rsid w:val="00E70280"/>
    <w:rsid w:val="00E713DE"/>
    <w:rsid w:val="00E74E5C"/>
    <w:rsid w:val="00E93C74"/>
    <w:rsid w:val="00EA7D41"/>
    <w:rsid w:val="00EB780D"/>
    <w:rsid w:val="00EE093E"/>
    <w:rsid w:val="00EE09E8"/>
    <w:rsid w:val="00EF00A0"/>
    <w:rsid w:val="00F236CB"/>
    <w:rsid w:val="00F30C0C"/>
    <w:rsid w:val="00F4308A"/>
    <w:rsid w:val="00F5276B"/>
    <w:rsid w:val="00F5284C"/>
    <w:rsid w:val="00F6294E"/>
    <w:rsid w:val="00F8566C"/>
    <w:rsid w:val="00FA3B76"/>
    <w:rsid w:val="00FA4694"/>
    <w:rsid w:val="00FD1126"/>
    <w:rsid w:val="00FD214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3DEE0"/>
  <w15:docId w15:val="{3DA4148F-139F-4DDD-90C0-9E876B5F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si-LK"/>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D93"/>
    <w:pPr>
      <w:spacing w:after="120" w:line="360" w:lineRule="auto"/>
      <w:contextualSpacing/>
      <w:jc w:val="both"/>
    </w:pPr>
    <w:rPr>
      <w:rFonts w:ascii="Times New Roman" w:eastAsia="Times New Roman" w:hAnsi="Times New Roman"/>
      <w:sz w:val="24"/>
      <w:szCs w:val="24"/>
      <w:lang w:val="en-GB" w:bidi="ar-SA"/>
    </w:rPr>
  </w:style>
  <w:style w:type="paragraph" w:styleId="Heading1">
    <w:name w:val="heading 1"/>
    <w:basedOn w:val="Normal"/>
    <w:next w:val="Normal"/>
    <w:link w:val="Heading1Char"/>
    <w:qFormat/>
    <w:rsid w:val="001A1D93"/>
    <w:pPr>
      <w:keepNext/>
      <w:spacing w:before="240" w:after="60"/>
      <w:jc w:val="left"/>
      <w:outlineLvl w:val="0"/>
    </w:pPr>
    <w:rPr>
      <w:rFonts w:ascii="Arial" w:hAnsi="Arial" w:cs="Arial"/>
      <w:b/>
      <w:bCs/>
      <w:caps/>
      <w:kern w:val="32"/>
      <w:sz w:val="40"/>
      <w:szCs w:val="40"/>
    </w:rPr>
  </w:style>
  <w:style w:type="paragraph" w:styleId="Heading2">
    <w:name w:val="heading 2"/>
    <w:basedOn w:val="Normal"/>
    <w:next w:val="Normal"/>
    <w:link w:val="Heading2Char"/>
    <w:uiPriority w:val="9"/>
    <w:semiHidden/>
    <w:unhideWhenUsed/>
    <w:qFormat/>
    <w:rsid w:val="001A1D93"/>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13C"/>
  </w:style>
  <w:style w:type="paragraph" w:styleId="Footer">
    <w:name w:val="footer"/>
    <w:basedOn w:val="Normal"/>
    <w:link w:val="FooterChar"/>
    <w:uiPriority w:val="99"/>
    <w:unhideWhenUsed/>
    <w:rsid w:val="00534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13C"/>
  </w:style>
  <w:style w:type="paragraph" w:styleId="BalloonText">
    <w:name w:val="Balloon Text"/>
    <w:basedOn w:val="Normal"/>
    <w:link w:val="BalloonTextChar"/>
    <w:uiPriority w:val="99"/>
    <w:semiHidden/>
    <w:unhideWhenUsed/>
    <w:rsid w:val="0053413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3413C"/>
    <w:rPr>
      <w:rFonts w:ascii="Tahoma" w:hAnsi="Tahoma" w:cs="Tahoma"/>
      <w:sz w:val="16"/>
      <w:szCs w:val="16"/>
    </w:rPr>
  </w:style>
  <w:style w:type="character" w:customStyle="1" w:styleId="Heading1Char">
    <w:name w:val="Heading 1 Char"/>
    <w:link w:val="Heading1"/>
    <w:rsid w:val="001A1D93"/>
    <w:rPr>
      <w:rFonts w:ascii="Arial" w:eastAsia="Times New Roman" w:hAnsi="Arial" w:cs="Arial"/>
      <w:b/>
      <w:bCs/>
      <w:caps/>
      <w:kern w:val="32"/>
      <w:sz w:val="40"/>
      <w:szCs w:val="40"/>
      <w:lang w:val="en-US"/>
    </w:rPr>
  </w:style>
  <w:style w:type="paragraph" w:customStyle="1" w:styleId="H3">
    <w:name w:val="H3"/>
    <w:basedOn w:val="Heading2"/>
    <w:link w:val="H3Char"/>
    <w:rsid w:val="001A1D93"/>
    <w:pPr>
      <w:keepNext w:val="0"/>
      <w:keepLines w:val="0"/>
      <w:widowControl w:val="0"/>
      <w:spacing w:before="120"/>
    </w:pPr>
    <w:rPr>
      <w:rFonts w:ascii="Times New Roman" w:hAnsi="Times New Roman" w:cs="Arial"/>
      <w:color w:val="auto"/>
      <w:sz w:val="36"/>
      <w:szCs w:val="28"/>
    </w:rPr>
  </w:style>
  <w:style w:type="character" w:customStyle="1" w:styleId="H3Char">
    <w:name w:val="H3 Char"/>
    <w:link w:val="H3"/>
    <w:rsid w:val="001A1D93"/>
    <w:rPr>
      <w:rFonts w:ascii="Times New Roman" w:eastAsia="Times New Roman" w:hAnsi="Times New Roman" w:cs="Arial"/>
      <w:b/>
      <w:bCs/>
      <w:sz w:val="36"/>
      <w:szCs w:val="28"/>
      <w:lang w:val="en-US"/>
    </w:rPr>
  </w:style>
  <w:style w:type="paragraph" w:customStyle="1" w:styleId="Contents">
    <w:name w:val="Contents"/>
    <w:basedOn w:val="Normal"/>
    <w:next w:val="Normal"/>
    <w:autoRedefine/>
    <w:rsid w:val="003F7FCF"/>
    <w:pPr>
      <w:pBdr>
        <w:top w:val="double" w:sz="4" w:space="5" w:color="auto"/>
      </w:pBdr>
      <w:spacing w:before="120"/>
    </w:pPr>
    <w:rPr>
      <w:rFonts w:ascii="Arial" w:hAnsi="Arial"/>
      <w:b/>
      <w:sz w:val="28"/>
      <w:szCs w:val="28"/>
    </w:rPr>
  </w:style>
  <w:style w:type="paragraph" w:customStyle="1" w:styleId="AIntroduction">
    <w:name w:val="A_Introduction"/>
    <w:basedOn w:val="Normal"/>
    <w:next w:val="Normal"/>
    <w:rsid w:val="001A1D93"/>
    <w:pPr>
      <w:pBdr>
        <w:top w:val="double" w:sz="4" w:space="10" w:color="auto"/>
      </w:pBdr>
    </w:pPr>
    <w:rPr>
      <w:b/>
    </w:rPr>
  </w:style>
  <w:style w:type="character" w:customStyle="1" w:styleId="Heading2Char">
    <w:name w:val="Heading 2 Char"/>
    <w:link w:val="Heading2"/>
    <w:uiPriority w:val="9"/>
    <w:semiHidden/>
    <w:rsid w:val="001A1D93"/>
    <w:rPr>
      <w:rFonts w:ascii="Cambria" w:eastAsia="Times New Roman" w:hAnsi="Cambria" w:cs="Times New Roman"/>
      <w:b/>
      <w:bCs/>
      <w:color w:val="4F81BD"/>
      <w:sz w:val="26"/>
      <w:szCs w:val="26"/>
      <w:lang w:val="en-US"/>
    </w:rPr>
  </w:style>
  <w:style w:type="paragraph" w:styleId="NormalWeb">
    <w:name w:val="Normal (Web)"/>
    <w:basedOn w:val="Normal"/>
    <w:uiPriority w:val="99"/>
    <w:rsid w:val="00082C71"/>
    <w:pPr>
      <w:spacing w:before="100" w:beforeAutospacing="1" w:after="100" w:afterAutospacing="1" w:line="240" w:lineRule="auto"/>
      <w:contextualSpacing w:val="0"/>
      <w:jc w:val="left"/>
    </w:pPr>
    <w:rPr>
      <w:rFonts w:ascii="Arial Unicode MS" w:eastAsia="Arial Unicode MS" w:hAnsi="Arial Unicode MS" w:cs="Arial Unicode MS"/>
      <w:lang w:val="en-AU"/>
    </w:rPr>
  </w:style>
  <w:style w:type="table" w:styleId="TableGrid">
    <w:name w:val="Table Grid"/>
    <w:basedOn w:val="TableNormal"/>
    <w:rsid w:val="00082C71"/>
    <w:pPr>
      <w:spacing w:after="120" w:line="360" w:lineRule="auto"/>
      <w:contextualSpacing/>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able">
    <w:name w:val="A_Table"/>
    <w:basedOn w:val="Normal"/>
    <w:link w:val="ATableChar"/>
    <w:rsid w:val="00082C71"/>
    <w:pPr>
      <w:spacing w:before="60" w:after="60" w:line="480" w:lineRule="auto"/>
    </w:pPr>
    <w:rPr>
      <w:b/>
      <w:position w:val="-6"/>
      <w:lang w:val="en-US"/>
    </w:rPr>
  </w:style>
  <w:style w:type="character" w:customStyle="1" w:styleId="ATableChar">
    <w:name w:val="A_Table Char"/>
    <w:link w:val="ATable"/>
    <w:rsid w:val="00082C71"/>
    <w:rPr>
      <w:rFonts w:ascii="Times New Roman" w:eastAsia="Times New Roman" w:hAnsi="Times New Roman"/>
      <w:b/>
      <w:position w:val="-6"/>
      <w:sz w:val="24"/>
      <w:szCs w:val="24"/>
      <w:lang w:val="en-US" w:eastAsia="en-US"/>
    </w:rPr>
  </w:style>
  <w:style w:type="paragraph" w:customStyle="1" w:styleId="Affiliation">
    <w:name w:val="Affiliation"/>
    <w:rsid w:val="0080506E"/>
    <w:pPr>
      <w:jc w:val="center"/>
    </w:pPr>
    <w:rPr>
      <w:rFonts w:ascii="Times New Roman" w:eastAsia="SimSun" w:hAnsi="Times New Roman"/>
      <w:lang w:bidi="ar-SA"/>
    </w:rPr>
  </w:style>
  <w:style w:type="paragraph" w:customStyle="1" w:styleId="papertitle">
    <w:name w:val="paper title"/>
    <w:rsid w:val="0080506E"/>
    <w:pPr>
      <w:spacing w:after="120"/>
      <w:jc w:val="center"/>
    </w:pPr>
    <w:rPr>
      <w:rFonts w:ascii="Times New Roman" w:eastAsia="MS Mincho" w:hAnsi="Times New Roman"/>
      <w:noProof/>
      <w:sz w:val="48"/>
      <w:szCs w:val="48"/>
      <w:lang w:bidi="ar-SA"/>
    </w:rPr>
  </w:style>
  <w:style w:type="paragraph" w:customStyle="1" w:styleId="sponsors">
    <w:name w:val="sponsors"/>
    <w:rsid w:val="00592E6A"/>
    <w:pPr>
      <w:framePr w:wrap="auto" w:hAnchor="text" w:x="615" w:y="2239"/>
      <w:pBdr>
        <w:top w:val="single" w:sz="4" w:space="2" w:color="auto"/>
      </w:pBdr>
      <w:ind w:firstLine="288"/>
    </w:pPr>
    <w:rPr>
      <w:rFonts w:ascii="Times New Roman" w:eastAsia="SimSun" w:hAnsi="Times New Roman"/>
      <w:sz w:val="16"/>
      <w:szCs w:val="16"/>
      <w:lang w:bidi="ar-SA"/>
    </w:rPr>
  </w:style>
  <w:style w:type="paragraph" w:customStyle="1" w:styleId="Text">
    <w:name w:val="Text"/>
    <w:basedOn w:val="Normal"/>
    <w:link w:val="TextChar"/>
    <w:rsid w:val="00592E6A"/>
    <w:pPr>
      <w:widowControl w:val="0"/>
      <w:autoSpaceDE w:val="0"/>
      <w:autoSpaceDN w:val="0"/>
      <w:spacing w:after="0" w:line="252" w:lineRule="auto"/>
      <w:ind w:firstLine="202"/>
      <w:contextualSpacing w:val="0"/>
    </w:pPr>
    <w:rPr>
      <w:rFonts w:eastAsia="SimSun"/>
      <w:sz w:val="20"/>
      <w:szCs w:val="20"/>
      <w:lang w:val="en-US"/>
    </w:rPr>
  </w:style>
  <w:style w:type="character" w:customStyle="1" w:styleId="TextChar">
    <w:name w:val="Text Char"/>
    <w:link w:val="Text"/>
    <w:rsid w:val="00592E6A"/>
    <w:rPr>
      <w:rFonts w:ascii="Times New Roman" w:eastAsia="SimSun" w:hAnsi="Times New Roman"/>
      <w:lang w:bidi="ar-SA"/>
    </w:rPr>
  </w:style>
  <w:style w:type="paragraph" w:customStyle="1" w:styleId="tablecolsubhead">
    <w:name w:val="table col subhead"/>
    <w:basedOn w:val="Normal"/>
    <w:rsid w:val="00592E6A"/>
    <w:pPr>
      <w:spacing w:after="0" w:line="240" w:lineRule="auto"/>
      <w:contextualSpacing w:val="0"/>
      <w:jc w:val="center"/>
    </w:pPr>
    <w:rPr>
      <w:rFonts w:eastAsia="SimSun"/>
      <w:b/>
      <w:bCs/>
      <w:i/>
      <w:iCs/>
      <w:sz w:val="15"/>
      <w:szCs w:val="15"/>
      <w:lang w:val="en-US"/>
    </w:rPr>
  </w:style>
  <w:style w:type="paragraph" w:customStyle="1" w:styleId="tablehead">
    <w:name w:val="table head"/>
    <w:rsid w:val="00592E6A"/>
    <w:pPr>
      <w:numPr>
        <w:numId w:val="7"/>
      </w:numPr>
      <w:tabs>
        <w:tab w:val="clear" w:pos="5580"/>
        <w:tab w:val="num" w:pos="1080"/>
      </w:tabs>
      <w:spacing w:before="240" w:after="120" w:line="216" w:lineRule="auto"/>
      <w:jc w:val="center"/>
    </w:pPr>
    <w:rPr>
      <w:rFonts w:ascii="Times New Roman" w:eastAsia="SimSun" w:hAnsi="Times New Roman"/>
      <w:smallCaps/>
      <w:noProof/>
      <w:sz w:val="16"/>
      <w:szCs w:val="16"/>
      <w:lang w:bidi="ar-SA"/>
    </w:rPr>
  </w:style>
  <w:style w:type="paragraph" w:styleId="BodyText">
    <w:name w:val="Body Text"/>
    <w:basedOn w:val="Normal"/>
    <w:link w:val="BodyTextChar"/>
    <w:rsid w:val="00592E6A"/>
    <w:pPr>
      <w:spacing w:line="228" w:lineRule="auto"/>
      <w:ind w:firstLine="288"/>
      <w:contextualSpacing w:val="0"/>
    </w:pPr>
    <w:rPr>
      <w:rFonts w:eastAsia="SimSun"/>
      <w:spacing w:val="-1"/>
      <w:sz w:val="20"/>
      <w:szCs w:val="20"/>
      <w:lang w:val="en-US"/>
    </w:rPr>
  </w:style>
  <w:style w:type="character" w:customStyle="1" w:styleId="BodyTextChar">
    <w:name w:val="Body Text Char"/>
    <w:link w:val="BodyText"/>
    <w:rsid w:val="00592E6A"/>
    <w:rPr>
      <w:rFonts w:ascii="Times New Roman" w:eastAsia="SimSun" w:hAnsi="Times New Roman"/>
      <w:spacing w:val="-1"/>
      <w:lang w:bidi="ar-SA"/>
    </w:rPr>
  </w:style>
  <w:style w:type="paragraph" w:customStyle="1" w:styleId="tablecolhead">
    <w:name w:val="table col head"/>
    <w:basedOn w:val="Normal"/>
    <w:rsid w:val="00592E6A"/>
    <w:pPr>
      <w:spacing w:after="0" w:line="240" w:lineRule="auto"/>
      <w:contextualSpacing w:val="0"/>
      <w:jc w:val="center"/>
    </w:pPr>
    <w:rPr>
      <w:rFonts w:eastAsia="SimSun"/>
      <w:b/>
      <w:bCs/>
      <w:sz w:val="16"/>
      <w:szCs w:val="16"/>
      <w:lang w:val="en-US"/>
    </w:rPr>
  </w:style>
  <w:style w:type="paragraph" w:customStyle="1" w:styleId="references">
    <w:name w:val="references"/>
    <w:rsid w:val="00592E6A"/>
    <w:pPr>
      <w:numPr>
        <w:numId w:val="8"/>
      </w:numPr>
      <w:spacing w:after="50" w:line="180" w:lineRule="exact"/>
      <w:jc w:val="both"/>
    </w:pPr>
    <w:rPr>
      <w:rFonts w:ascii="Times New Roman" w:eastAsia="MS Mincho" w:hAnsi="Times New Roman"/>
      <w:noProof/>
      <w:sz w:val="16"/>
      <w:szCs w:val="16"/>
      <w:lang w:bidi="ar-SA"/>
    </w:rPr>
  </w:style>
  <w:style w:type="paragraph" w:customStyle="1" w:styleId="tablecopy">
    <w:name w:val="table copy"/>
    <w:rsid w:val="00592E6A"/>
    <w:pPr>
      <w:jc w:val="both"/>
    </w:pPr>
    <w:rPr>
      <w:rFonts w:ascii="Times New Roman" w:eastAsia="SimSun" w:hAnsi="Times New Roman"/>
      <w:noProof/>
      <w:sz w:val="16"/>
      <w:szCs w:val="16"/>
      <w:lang w:bidi="ar-SA"/>
    </w:rPr>
  </w:style>
  <w:style w:type="paragraph" w:customStyle="1" w:styleId="tablefootnote">
    <w:name w:val="table footnote"/>
    <w:rsid w:val="00592E6A"/>
    <w:pPr>
      <w:spacing w:before="60" w:after="30"/>
      <w:jc w:val="right"/>
    </w:pPr>
    <w:rPr>
      <w:rFonts w:ascii="Times New Roman" w:eastAsia="SimSun" w:hAnsi="Times New Roman"/>
      <w:sz w:val="12"/>
      <w:szCs w:val="12"/>
      <w:lang w:bidi="ar-SA"/>
    </w:rPr>
  </w:style>
  <w:style w:type="character" w:styleId="Emphasis">
    <w:name w:val="Emphasis"/>
    <w:qFormat/>
    <w:rsid w:val="00592E6A"/>
    <w:rPr>
      <w:b/>
      <w:bCs/>
      <w:i w:val="0"/>
      <w:iCs w:val="0"/>
    </w:rPr>
  </w:style>
  <w:style w:type="character" w:styleId="FootnoteReference">
    <w:name w:val="footnote reference"/>
    <w:uiPriority w:val="99"/>
    <w:rsid w:val="007925F3"/>
    <w:rPr>
      <w:vertAlign w:val="superscript"/>
    </w:rPr>
  </w:style>
  <w:style w:type="paragraph" w:customStyle="1" w:styleId="ACSName">
    <w:name w:val="ACS_Name"/>
    <w:basedOn w:val="Normal"/>
    <w:rsid w:val="007925F3"/>
    <w:pPr>
      <w:widowControl w:val="0"/>
      <w:suppressAutoHyphens/>
      <w:spacing w:before="200" w:after="200" w:line="240" w:lineRule="auto"/>
      <w:contextualSpacing w:val="0"/>
      <w:jc w:val="center"/>
    </w:pPr>
    <w:rPr>
      <w:rFonts w:eastAsia="Calibri" w:cs="Calibri"/>
      <w:kern w:val="1"/>
      <w:sz w:val="22"/>
      <w:szCs w:val="22"/>
      <w:lang w:val="en-US" w:eastAsia="ar-SA"/>
    </w:rPr>
  </w:style>
  <w:style w:type="paragraph" w:customStyle="1" w:styleId="ACSAddress">
    <w:name w:val="ACS_Address"/>
    <w:basedOn w:val="ACSName"/>
    <w:rsid w:val="007925F3"/>
    <w:rPr>
      <w:i/>
    </w:rPr>
  </w:style>
  <w:style w:type="paragraph" w:styleId="FootnoteText">
    <w:name w:val="footnote text"/>
    <w:basedOn w:val="Normal"/>
    <w:link w:val="FootnoteTextChar"/>
    <w:uiPriority w:val="99"/>
    <w:rsid w:val="007925F3"/>
    <w:pPr>
      <w:widowControl w:val="0"/>
      <w:suppressAutoHyphens/>
      <w:spacing w:after="0" w:line="240" w:lineRule="auto"/>
      <w:contextualSpacing w:val="0"/>
    </w:pPr>
    <w:rPr>
      <w:rFonts w:eastAsia="MS Mincho" w:cs="Calibri"/>
      <w:kern w:val="1"/>
      <w:sz w:val="20"/>
      <w:szCs w:val="20"/>
      <w:lang w:val="en-US" w:eastAsia="ar-SA"/>
    </w:rPr>
  </w:style>
  <w:style w:type="character" w:customStyle="1" w:styleId="FootnoteTextChar">
    <w:name w:val="Footnote Text Char"/>
    <w:link w:val="FootnoteText"/>
    <w:uiPriority w:val="99"/>
    <w:rsid w:val="007925F3"/>
    <w:rPr>
      <w:rFonts w:ascii="Times New Roman" w:eastAsia="MS Mincho" w:hAnsi="Times New Roman" w:cs="Calibri"/>
      <w:kern w:val="1"/>
      <w:lang w:eastAsia="ar-SA"/>
    </w:rPr>
  </w:style>
  <w:style w:type="paragraph" w:customStyle="1" w:styleId="ACSHeading">
    <w:name w:val="ACS_Heading"/>
    <w:basedOn w:val="Normal"/>
    <w:rsid w:val="007925F3"/>
    <w:pPr>
      <w:keepNext/>
      <w:keepLines/>
      <w:widowControl w:val="0"/>
      <w:suppressAutoHyphens/>
      <w:spacing w:after="0" w:line="240" w:lineRule="auto"/>
      <w:contextualSpacing w:val="0"/>
      <w:jc w:val="left"/>
    </w:pPr>
    <w:rPr>
      <w:b/>
      <w:bCs/>
      <w:caps/>
      <w:kern w:val="1"/>
      <w:sz w:val="22"/>
      <w:szCs w:val="28"/>
      <w:lang w:val="en-US" w:eastAsia="ar-SA"/>
    </w:rPr>
  </w:style>
  <w:style w:type="paragraph" w:customStyle="1" w:styleId="ACSBody">
    <w:name w:val="ACS_Body"/>
    <w:basedOn w:val="Normal"/>
    <w:qFormat/>
    <w:rsid w:val="007925F3"/>
    <w:pPr>
      <w:widowControl w:val="0"/>
      <w:suppressAutoHyphens/>
      <w:spacing w:before="200" w:after="0" w:line="240" w:lineRule="auto"/>
      <w:contextualSpacing w:val="0"/>
    </w:pPr>
    <w:rPr>
      <w:rFonts w:eastAsia="Calibri" w:cs="Calibri"/>
      <w:kern w:val="1"/>
      <w:sz w:val="22"/>
      <w:szCs w:val="22"/>
      <w:lang w:val="en-US" w:eastAsia="ar-SA"/>
    </w:rPr>
  </w:style>
  <w:style w:type="paragraph" w:customStyle="1" w:styleId="Default">
    <w:name w:val="Default"/>
    <w:rsid w:val="007925F3"/>
    <w:pPr>
      <w:autoSpaceDE w:val="0"/>
      <w:autoSpaceDN w:val="0"/>
      <w:adjustRightInd w:val="0"/>
    </w:pPr>
    <w:rPr>
      <w:rFonts w:ascii="Arial" w:eastAsia="Times New Roman" w:hAnsi="Arial" w:cs="Arial"/>
      <w:color w:val="000000"/>
      <w:sz w:val="24"/>
      <w:szCs w:val="24"/>
      <w:lang w:bidi="ar-SA"/>
    </w:rPr>
  </w:style>
  <w:style w:type="paragraph" w:customStyle="1" w:styleId="AAS01-Title">
    <w:name w:val="AAS 01 - Title"/>
    <w:basedOn w:val="Normal"/>
    <w:autoRedefine/>
    <w:qFormat/>
    <w:rsid w:val="007925F3"/>
    <w:pPr>
      <w:widowControl w:val="0"/>
      <w:suppressAutoHyphens/>
      <w:spacing w:after="0" w:line="240" w:lineRule="auto"/>
      <w:contextualSpacing w:val="0"/>
      <w:jc w:val="center"/>
    </w:pPr>
    <w:rPr>
      <w:rFonts w:eastAsia="Calibri" w:cs="Calibri"/>
      <w:b/>
      <w:caps/>
      <w:kern w:val="1"/>
      <w:sz w:val="22"/>
      <w:szCs w:val="22"/>
      <w:lang w:val="en-US" w:eastAsia="ar-SA"/>
    </w:rPr>
  </w:style>
  <w:style w:type="character" w:styleId="CommentReference">
    <w:name w:val="annotation reference"/>
    <w:uiPriority w:val="99"/>
    <w:semiHidden/>
    <w:unhideWhenUsed/>
    <w:rsid w:val="00455643"/>
    <w:rPr>
      <w:sz w:val="16"/>
      <w:szCs w:val="16"/>
    </w:rPr>
  </w:style>
  <w:style w:type="paragraph" w:styleId="CommentText">
    <w:name w:val="annotation text"/>
    <w:basedOn w:val="Normal"/>
    <w:link w:val="CommentTextChar"/>
    <w:uiPriority w:val="99"/>
    <w:semiHidden/>
    <w:unhideWhenUsed/>
    <w:rsid w:val="00455643"/>
    <w:rPr>
      <w:sz w:val="20"/>
      <w:szCs w:val="20"/>
    </w:rPr>
  </w:style>
  <w:style w:type="character" w:customStyle="1" w:styleId="CommentTextChar">
    <w:name w:val="Comment Text Char"/>
    <w:link w:val="CommentText"/>
    <w:uiPriority w:val="99"/>
    <w:semiHidden/>
    <w:rsid w:val="00455643"/>
    <w:rPr>
      <w:rFonts w:ascii="Times New Roman" w:eastAsia="Times New Roman" w:hAnsi="Times New Roman"/>
      <w:lang w:val="en-GB" w:bidi="ar-SA"/>
    </w:rPr>
  </w:style>
  <w:style w:type="paragraph" w:styleId="CommentSubject">
    <w:name w:val="annotation subject"/>
    <w:basedOn w:val="CommentText"/>
    <w:next w:val="CommentText"/>
    <w:link w:val="CommentSubjectChar"/>
    <w:uiPriority w:val="99"/>
    <w:semiHidden/>
    <w:unhideWhenUsed/>
    <w:rsid w:val="00455643"/>
    <w:rPr>
      <w:b/>
      <w:bCs/>
    </w:rPr>
  </w:style>
  <w:style w:type="character" w:customStyle="1" w:styleId="CommentSubjectChar">
    <w:name w:val="Comment Subject Char"/>
    <w:link w:val="CommentSubject"/>
    <w:uiPriority w:val="99"/>
    <w:semiHidden/>
    <w:rsid w:val="00455643"/>
    <w:rPr>
      <w:rFonts w:ascii="Times New Roman" w:eastAsia="Times New Roman" w:hAnsi="Times New Roman"/>
      <w:b/>
      <w:bCs/>
      <w:lang w:val="en-GB" w:bidi="ar-SA"/>
    </w:rPr>
  </w:style>
  <w:style w:type="paragraph" w:styleId="ListParagraph">
    <w:name w:val="List Paragraph"/>
    <w:basedOn w:val="Normal"/>
    <w:uiPriority w:val="34"/>
    <w:qFormat/>
    <w:rsid w:val="00733F2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9AAD0-320F-43A4-A404-2A6D7BD74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2409</Words>
  <Characters>13734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ousl</dc:creator>
  <cp:lastModifiedBy>Director Research</cp:lastModifiedBy>
  <cp:revision>5</cp:revision>
  <cp:lastPrinted>2020-06-29T09:52:00Z</cp:lastPrinted>
  <dcterms:created xsi:type="dcterms:W3CDTF">2020-09-24T04:11:00Z</dcterms:created>
  <dcterms:modified xsi:type="dcterms:W3CDTF">2020-12-14T07:21:00Z</dcterms:modified>
</cp:coreProperties>
</file>