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FCA78" w14:textId="77777777" w:rsidR="00C5778C" w:rsidRPr="00C5778C" w:rsidRDefault="00C5778C" w:rsidP="00C5778C">
      <w:pPr>
        <w:jc w:val="center"/>
        <w:rPr>
          <w:b/>
        </w:rPr>
      </w:pPr>
      <w:r w:rsidRPr="00C5778C">
        <w:rPr>
          <w:b/>
        </w:rPr>
        <w:t>SPEAKING CONFI</w:t>
      </w:r>
      <w:bookmarkStart w:id="0" w:name="_GoBack"/>
      <w:bookmarkEnd w:id="0"/>
      <w:r w:rsidRPr="00C5778C">
        <w:rPr>
          <w:b/>
        </w:rPr>
        <w:t>DENTLY IN ENGLISH: CAN ESL LEARNERS BE TRAINED?</w:t>
      </w:r>
    </w:p>
    <w:p w14:paraId="5D25B1BB" w14:textId="77777777" w:rsidR="00C5778C" w:rsidRPr="00F6055C" w:rsidRDefault="00C5778C" w:rsidP="00C5778C">
      <w:pPr>
        <w:jc w:val="center"/>
        <w:rPr>
          <w:b/>
          <w:i/>
        </w:rPr>
      </w:pPr>
      <w:r w:rsidRPr="00F6055C">
        <w:rPr>
          <w:b/>
          <w:i/>
        </w:rPr>
        <w:t xml:space="preserve">H.I D. </w:t>
      </w:r>
      <w:proofErr w:type="spellStart"/>
      <w:r w:rsidRPr="00F6055C">
        <w:rPr>
          <w:b/>
          <w:i/>
        </w:rPr>
        <w:t>Wazeer</w:t>
      </w:r>
      <w:proofErr w:type="spellEnd"/>
      <w:r w:rsidRPr="00F6055C">
        <w:rPr>
          <w:b/>
          <w:i/>
        </w:rPr>
        <w:t xml:space="preserve">, H. Ratwatte </w:t>
      </w:r>
    </w:p>
    <w:p w14:paraId="0A20376B" w14:textId="77777777" w:rsidR="00C5778C" w:rsidRPr="00F6055C" w:rsidRDefault="00C5778C" w:rsidP="00C5778C">
      <w:pPr>
        <w:jc w:val="center"/>
        <w:rPr>
          <w:i/>
        </w:rPr>
      </w:pPr>
      <w:r w:rsidRPr="00F6055C">
        <w:rPr>
          <w:i/>
        </w:rPr>
        <w:t xml:space="preserve">Postgraduate </w:t>
      </w:r>
      <w:r>
        <w:rPr>
          <w:i/>
        </w:rPr>
        <w:t>I</w:t>
      </w:r>
      <w:r w:rsidRPr="00F6055C">
        <w:rPr>
          <w:i/>
        </w:rPr>
        <w:t>nstitute of S</w:t>
      </w:r>
      <w:r>
        <w:rPr>
          <w:i/>
        </w:rPr>
        <w:t>ri</w:t>
      </w:r>
      <w:r w:rsidRPr="00F6055C">
        <w:rPr>
          <w:i/>
        </w:rPr>
        <w:t xml:space="preserve"> Lanka, The Open University of Sri Lanka</w:t>
      </w:r>
    </w:p>
    <w:p w14:paraId="1CF0B9AE" w14:textId="77777777" w:rsidR="00C5778C" w:rsidRPr="00CC654B" w:rsidRDefault="00C5778C" w:rsidP="00C5778C">
      <w:pPr>
        <w:spacing w:after="160"/>
        <w:ind w:right="2394"/>
        <w:jc w:val="left"/>
        <w:rPr>
          <w:sz w:val="24"/>
          <w:szCs w:val="24"/>
        </w:rPr>
      </w:pPr>
      <w:r w:rsidRPr="00CC654B">
        <w:rPr>
          <w:b/>
          <w:bCs/>
          <w:color w:val="000000"/>
          <w:sz w:val="24"/>
          <w:szCs w:val="24"/>
        </w:rPr>
        <w:t>Introduction</w:t>
      </w:r>
    </w:p>
    <w:p w14:paraId="5A0FFA1D" w14:textId="77777777" w:rsidR="00C5778C" w:rsidRPr="00CC654B" w:rsidRDefault="00C5778C" w:rsidP="00C5778C">
      <w:pPr>
        <w:spacing w:after="160"/>
        <w:jc w:val="left"/>
        <w:rPr>
          <w:sz w:val="24"/>
          <w:szCs w:val="24"/>
        </w:rPr>
      </w:pPr>
      <w:r>
        <w:rPr>
          <w:color w:val="000000"/>
          <w:sz w:val="24"/>
          <w:szCs w:val="24"/>
        </w:rPr>
        <w:t>A</w:t>
      </w:r>
      <w:r w:rsidRPr="00CC654B">
        <w:rPr>
          <w:color w:val="000000"/>
          <w:sz w:val="24"/>
          <w:szCs w:val="24"/>
        </w:rPr>
        <w:t xml:space="preserve"> key goal </w:t>
      </w:r>
      <w:r>
        <w:rPr>
          <w:color w:val="000000"/>
          <w:sz w:val="24"/>
          <w:szCs w:val="24"/>
        </w:rPr>
        <w:t>of</w:t>
      </w:r>
      <w:r w:rsidRPr="00CC654B">
        <w:rPr>
          <w:color w:val="000000"/>
          <w:sz w:val="24"/>
          <w:szCs w:val="24"/>
        </w:rPr>
        <w:t xml:space="preserve"> learning English as a Second Language</w:t>
      </w:r>
      <w:r>
        <w:rPr>
          <w:color w:val="000000"/>
          <w:sz w:val="24"/>
          <w:szCs w:val="24"/>
        </w:rPr>
        <w:t xml:space="preserve"> (ESL)</w:t>
      </w:r>
      <w:r w:rsidRPr="00CC654B">
        <w:rPr>
          <w:color w:val="000000"/>
          <w:sz w:val="24"/>
          <w:szCs w:val="24"/>
        </w:rPr>
        <w:t xml:space="preserve"> is</w:t>
      </w:r>
      <w:r>
        <w:rPr>
          <w:color w:val="000000"/>
          <w:sz w:val="24"/>
          <w:szCs w:val="24"/>
        </w:rPr>
        <w:t xml:space="preserve"> to be able to</w:t>
      </w:r>
      <w:r w:rsidRPr="00CC654B">
        <w:rPr>
          <w:color w:val="000000"/>
          <w:sz w:val="24"/>
          <w:szCs w:val="24"/>
        </w:rPr>
        <w:t xml:space="preserve"> speak confidently</w:t>
      </w:r>
      <w:r>
        <w:rPr>
          <w:color w:val="000000"/>
          <w:sz w:val="24"/>
          <w:szCs w:val="24"/>
        </w:rPr>
        <w:t>. W</w:t>
      </w:r>
      <w:r w:rsidRPr="00CC654B">
        <w:rPr>
          <w:color w:val="000000"/>
          <w:sz w:val="24"/>
          <w:szCs w:val="24"/>
        </w:rPr>
        <w:t xml:space="preserve">hen a group of learners who had successfully completed the ESOL </w:t>
      </w:r>
      <w:r>
        <w:rPr>
          <w:color w:val="000000"/>
          <w:sz w:val="24"/>
          <w:szCs w:val="24"/>
        </w:rPr>
        <w:t xml:space="preserve">(English for Speakers of Other Languages) </w:t>
      </w:r>
      <w:r w:rsidRPr="00CC654B">
        <w:rPr>
          <w:color w:val="000000"/>
          <w:sz w:val="24"/>
          <w:szCs w:val="24"/>
        </w:rPr>
        <w:t>intermediate level examination conducted by the University of Cambridge, were invited to join the compere group at their International School, their response was: “</w:t>
      </w:r>
      <w:r w:rsidRPr="00CC654B">
        <w:rPr>
          <w:i/>
          <w:iCs/>
          <w:color w:val="000000"/>
          <w:sz w:val="24"/>
          <w:szCs w:val="24"/>
        </w:rPr>
        <w:t>We love to join, but we are scared</w:t>
      </w:r>
      <w:r w:rsidRPr="00CC654B">
        <w:rPr>
          <w:color w:val="000000"/>
          <w:sz w:val="24"/>
          <w:szCs w:val="24"/>
        </w:rPr>
        <w:t>.”</w:t>
      </w:r>
    </w:p>
    <w:p w14:paraId="31FB0354" w14:textId="77777777" w:rsidR="00C5778C" w:rsidRPr="00CC654B" w:rsidRDefault="00C5778C" w:rsidP="00C5778C">
      <w:pPr>
        <w:spacing w:before="240" w:after="240"/>
        <w:jc w:val="left"/>
        <w:rPr>
          <w:sz w:val="24"/>
          <w:szCs w:val="24"/>
        </w:rPr>
      </w:pPr>
      <w:r w:rsidRPr="00CC654B">
        <w:rPr>
          <w:color w:val="000000"/>
          <w:sz w:val="24"/>
          <w:szCs w:val="24"/>
        </w:rPr>
        <w:t>Vasquez (2014) posits that anxiety and the lack of self-confidence resulting from poor preparedness makes learners reluctant to engage in interactions.  Self-confidence provides learners with motivation</w:t>
      </w:r>
      <w:r>
        <w:rPr>
          <w:color w:val="000000"/>
          <w:sz w:val="24"/>
          <w:szCs w:val="24"/>
        </w:rPr>
        <w:t xml:space="preserve"> and </w:t>
      </w:r>
      <w:r w:rsidRPr="00CC654B">
        <w:rPr>
          <w:color w:val="000000"/>
          <w:sz w:val="24"/>
          <w:szCs w:val="24"/>
        </w:rPr>
        <w:t xml:space="preserve">enjoyment </w:t>
      </w:r>
      <w:r>
        <w:rPr>
          <w:color w:val="000000"/>
          <w:sz w:val="24"/>
          <w:szCs w:val="24"/>
        </w:rPr>
        <w:t xml:space="preserve">when they </w:t>
      </w:r>
      <w:proofErr w:type="gramStart"/>
      <w:r w:rsidRPr="00CC654B">
        <w:rPr>
          <w:color w:val="000000"/>
          <w:sz w:val="24"/>
          <w:szCs w:val="24"/>
        </w:rPr>
        <w:t>engag</w:t>
      </w:r>
      <w:r>
        <w:rPr>
          <w:color w:val="000000"/>
          <w:sz w:val="24"/>
          <w:szCs w:val="24"/>
        </w:rPr>
        <w:t xml:space="preserve">e </w:t>
      </w:r>
      <w:r w:rsidRPr="00CC654B">
        <w:rPr>
          <w:color w:val="000000"/>
          <w:sz w:val="24"/>
          <w:szCs w:val="24"/>
        </w:rPr>
        <w:t xml:space="preserve"> in</w:t>
      </w:r>
      <w:proofErr w:type="gramEnd"/>
      <w:r w:rsidRPr="00CC654B">
        <w:rPr>
          <w:color w:val="000000"/>
          <w:sz w:val="24"/>
          <w:szCs w:val="24"/>
        </w:rPr>
        <w:t xml:space="preserve"> real communication (</w:t>
      </w:r>
      <w:proofErr w:type="spellStart"/>
      <w:r w:rsidRPr="00CC654B">
        <w:rPr>
          <w:color w:val="000000"/>
          <w:sz w:val="24"/>
          <w:szCs w:val="24"/>
        </w:rPr>
        <w:t>Ebeta</w:t>
      </w:r>
      <w:proofErr w:type="spellEnd"/>
      <w:r w:rsidRPr="00CC654B">
        <w:rPr>
          <w:color w:val="000000"/>
          <w:sz w:val="24"/>
          <w:szCs w:val="24"/>
        </w:rPr>
        <w:t xml:space="preserve">, 2008). </w:t>
      </w:r>
    </w:p>
    <w:p w14:paraId="05BB6A5C" w14:textId="77777777" w:rsidR="00C5778C" w:rsidRDefault="00C5778C" w:rsidP="00C5778C">
      <w:pPr>
        <w:pStyle w:val="NormalWeb"/>
        <w:spacing w:before="240" w:beforeAutospacing="0" w:after="240" w:afterAutospacing="0"/>
        <w:rPr>
          <w:color w:val="000000"/>
        </w:rPr>
      </w:pPr>
      <w:r>
        <w:rPr>
          <w:color w:val="000000"/>
        </w:rPr>
        <w:t xml:space="preserve">Scholars researching in ESL speaking have explored </w:t>
      </w:r>
      <w:r w:rsidRPr="00CC654B">
        <w:rPr>
          <w:color w:val="000000"/>
        </w:rPr>
        <w:t xml:space="preserve">strategies that would help </w:t>
      </w:r>
      <w:r>
        <w:rPr>
          <w:color w:val="000000"/>
        </w:rPr>
        <w:t xml:space="preserve">second language learners build confidence to speak. </w:t>
      </w:r>
      <w:r w:rsidRPr="00CC654B">
        <w:rPr>
          <w:color w:val="000000"/>
        </w:rPr>
        <w:t xml:space="preserve">Henderson (1982) recommended Impromptu Speech </w:t>
      </w:r>
      <w:r>
        <w:rPr>
          <w:color w:val="000000"/>
        </w:rPr>
        <w:t xml:space="preserve">(IS) </w:t>
      </w:r>
      <w:r w:rsidRPr="00CC654B">
        <w:rPr>
          <w:color w:val="000000"/>
        </w:rPr>
        <w:t xml:space="preserve">as a </w:t>
      </w:r>
      <w:r w:rsidRPr="00C75EE4">
        <w:rPr>
          <w:iCs/>
          <w:color w:val="000000"/>
        </w:rPr>
        <w:t>tool</w:t>
      </w:r>
      <w:r>
        <w:rPr>
          <w:iCs/>
          <w:color w:val="000000"/>
        </w:rPr>
        <w:t xml:space="preserve"> </w:t>
      </w:r>
      <w:r w:rsidRPr="00CC654B">
        <w:rPr>
          <w:color w:val="000000"/>
        </w:rPr>
        <w:t>to promote non-native speakers</w:t>
      </w:r>
      <w:r>
        <w:rPr>
          <w:color w:val="000000"/>
        </w:rPr>
        <w:t>’</w:t>
      </w:r>
      <w:r w:rsidRPr="00CC654B">
        <w:rPr>
          <w:color w:val="000000"/>
        </w:rPr>
        <w:t xml:space="preserve"> fluency in English. IS involves delivering a speech without advance preparation” (</w:t>
      </w:r>
      <w:proofErr w:type="spellStart"/>
      <w:r w:rsidRPr="00CC654B">
        <w:rPr>
          <w:color w:val="000000"/>
        </w:rPr>
        <w:t>Trismianti</w:t>
      </w:r>
      <w:proofErr w:type="spellEnd"/>
      <w:r w:rsidRPr="00CC654B">
        <w:rPr>
          <w:color w:val="000000"/>
        </w:rPr>
        <w:t>, 2014,</w:t>
      </w:r>
      <w:proofErr w:type="gramStart"/>
      <w:r w:rsidRPr="00CC654B">
        <w:rPr>
          <w:color w:val="000000"/>
        </w:rPr>
        <w:t>  para</w:t>
      </w:r>
      <w:proofErr w:type="gramEnd"/>
      <w:r w:rsidRPr="00CC654B">
        <w:rPr>
          <w:color w:val="000000"/>
        </w:rPr>
        <w:t>. 4). However,</w:t>
      </w:r>
      <w:proofErr w:type="gramStart"/>
      <w:r w:rsidRPr="00CC654B">
        <w:rPr>
          <w:color w:val="000000"/>
        </w:rPr>
        <w:t xml:space="preserve">  </w:t>
      </w:r>
      <w:proofErr w:type="spellStart"/>
      <w:r w:rsidRPr="00CC654B">
        <w:rPr>
          <w:color w:val="000000"/>
        </w:rPr>
        <w:t>Ajeng</w:t>
      </w:r>
      <w:proofErr w:type="spellEnd"/>
      <w:proofErr w:type="gramEnd"/>
      <w:r w:rsidRPr="00CC654B">
        <w:rPr>
          <w:color w:val="000000"/>
        </w:rPr>
        <w:t xml:space="preserve"> (2016) points out that in its true sense, an impromptu or extemporaneous speech requires a lot of pre-planning and pre- preparation. </w:t>
      </w:r>
      <w:r>
        <w:rPr>
          <w:color w:val="000000"/>
        </w:rPr>
        <w:t xml:space="preserve">The objective of this study was to explore weather </w:t>
      </w:r>
      <w:r w:rsidRPr="00CC654B">
        <w:rPr>
          <w:color w:val="000000"/>
        </w:rPr>
        <w:t>IS could</w:t>
      </w:r>
      <w:r>
        <w:rPr>
          <w:color w:val="000000"/>
        </w:rPr>
        <w:t xml:space="preserve"> help students develop their confidence to deliver a speech. </w:t>
      </w:r>
    </w:p>
    <w:p w14:paraId="01EC11C9" w14:textId="77777777" w:rsidR="00C5778C" w:rsidRPr="00C75EE4" w:rsidRDefault="00C5778C" w:rsidP="00C5778C">
      <w:pPr>
        <w:pStyle w:val="NormalWeb"/>
        <w:spacing w:before="240" w:beforeAutospacing="0" w:after="240" w:afterAutospacing="0"/>
        <w:rPr>
          <w:b/>
        </w:rPr>
      </w:pPr>
      <w:r w:rsidRPr="00C75EE4">
        <w:rPr>
          <w:b/>
        </w:rPr>
        <w:t xml:space="preserve">Methodology </w:t>
      </w:r>
    </w:p>
    <w:p w14:paraId="5872EEA3" w14:textId="77777777" w:rsidR="00C5778C" w:rsidRPr="00CC654B" w:rsidRDefault="00C5778C" w:rsidP="00C5778C">
      <w:pPr>
        <w:pStyle w:val="NormalWeb"/>
        <w:spacing w:before="240" w:beforeAutospacing="0" w:after="240" w:afterAutospacing="0"/>
      </w:pPr>
      <w:r w:rsidRPr="00CC654B">
        <w:rPr>
          <w:color w:val="000000"/>
        </w:rPr>
        <w:t>Thirty one (31)</w:t>
      </w:r>
      <w:proofErr w:type="gramStart"/>
      <w:r w:rsidRPr="00CC654B">
        <w:rPr>
          <w:color w:val="000000"/>
        </w:rPr>
        <w:t>  ESL</w:t>
      </w:r>
      <w:proofErr w:type="gramEnd"/>
      <w:r w:rsidRPr="00CC654B">
        <w:rPr>
          <w:color w:val="000000"/>
        </w:rPr>
        <w:t xml:space="preserve"> learners (15 male and 16 female) aged 15-16 years, studying in Grade 11 at an English medium International School, who have successfully completed the ESOL Intermediate Level Examination volunteered to participate in the study.   They have studied in the English medium for eleven years, but data collected indicate that Sinhala is their home language and that they are rarely exposed to English outside of school.</w:t>
      </w:r>
    </w:p>
    <w:p w14:paraId="4C39B9E9" w14:textId="77777777" w:rsidR="00C5778C" w:rsidRDefault="00C5778C" w:rsidP="00C5778C">
      <w:pPr>
        <w:pStyle w:val="NormalWeb"/>
        <w:spacing w:before="240" w:beforeAutospacing="0" w:after="240" w:afterAutospacing="0"/>
        <w:rPr>
          <w:color w:val="000000"/>
        </w:rPr>
      </w:pPr>
      <w:r w:rsidRPr="00CC654B">
        <w:rPr>
          <w:color w:val="000000"/>
        </w:rPr>
        <w:t>An action research (AR) comprising three cycles (12 lessons) was implemented over a period of four weeks. The cycles were conceptualized in terms of the three Ps; Cycle I - Preparation, Cycle II - Practice and Cycle III- Presentation. Throughout the intervention, the learners received continuous, constructive criticism from the teacher-researcher (TR), peers and through self-reflection. </w:t>
      </w:r>
    </w:p>
    <w:p w14:paraId="5D9DF031" w14:textId="77777777" w:rsidR="00C5778C" w:rsidRPr="00CC654B" w:rsidRDefault="00C5778C" w:rsidP="00C5778C">
      <w:pPr>
        <w:pStyle w:val="NormalWeb"/>
        <w:spacing w:before="240" w:beforeAutospacing="0" w:after="240" w:afterAutospacing="0"/>
        <w:rPr>
          <w:color w:val="000000"/>
        </w:rPr>
      </w:pPr>
      <w:r w:rsidRPr="00CC654B">
        <w:rPr>
          <w:color w:val="000000"/>
        </w:rPr>
        <w:t xml:space="preserve">Experts’ (an independent observer </w:t>
      </w:r>
      <w:r>
        <w:rPr>
          <w:color w:val="000000"/>
        </w:rPr>
        <w:t xml:space="preserve">was appointed to evaluate the learner performance together with </w:t>
      </w:r>
      <w:proofErr w:type="gramStart"/>
      <w:r>
        <w:rPr>
          <w:color w:val="000000"/>
        </w:rPr>
        <w:t xml:space="preserve">this  </w:t>
      </w:r>
      <w:r w:rsidRPr="00CC654B">
        <w:rPr>
          <w:color w:val="000000"/>
        </w:rPr>
        <w:t>teacher</w:t>
      </w:r>
      <w:proofErr w:type="gramEnd"/>
      <w:r w:rsidRPr="00CC654B">
        <w:rPr>
          <w:color w:val="000000"/>
        </w:rPr>
        <w:t>-researcher)</w:t>
      </w:r>
      <w:r>
        <w:rPr>
          <w:color w:val="000000"/>
        </w:rPr>
        <w:t xml:space="preserve"> feedback, </w:t>
      </w:r>
      <w:r w:rsidRPr="00CC654B">
        <w:rPr>
          <w:color w:val="000000"/>
        </w:rPr>
        <w:t xml:space="preserve">learner self-reflections and self-evaluations were obtained on five aspects of a speech which are: delivery, clarity, introduction, content and ending. </w:t>
      </w:r>
    </w:p>
    <w:p w14:paraId="0F146BC2" w14:textId="77777777" w:rsidR="00C5778C" w:rsidRDefault="00C5778C" w:rsidP="00C5778C">
      <w:pPr>
        <w:pStyle w:val="NormalWeb"/>
        <w:spacing w:before="240" w:beforeAutospacing="0" w:after="240" w:afterAutospacing="0"/>
        <w:rPr>
          <w:color w:val="000000"/>
        </w:rPr>
      </w:pPr>
      <w:r w:rsidRPr="00CC654B">
        <w:rPr>
          <w:color w:val="000000"/>
        </w:rPr>
        <w:t xml:space="preserve">Following instruments were </w:t>
      </w:r>
      <w:r>
        <w:rPr>
          <w:color w:val="000000"/>
        </w:rPr>
        <w:t xml:space="preserve">also used to </w:t>
      </w:r>
      <w:r w:rsidRPr="00CC654B">
        <w:rPr>
          <w:color w:val="000000"/>
        </w:rPr>
        <w:t xml:space="preserve">obtain data: </w:t>
      </w:r>
    </w:p>
    <w:p w14:paraId="1D76B0CB" w14:textId="77777777" w:rsidR="00C5778C" w:rsidRPr="00960D36" w:rsidRDefault="00C5778C" w:rsidP="00C5778C">
      <w:pPr>
        <w:pStyle w:val="NormalWeb"/>
        <w:numPr>
          <w:ilvl w:val="0"/>
          <w:numId w:val="1"/>
        </w:numPr>
        <w:spacing w:before="240" w:beforeAutospacing="0" w:after="240" w:afterAutospacing="0"/>
        <w:rPr>
          <w:color w:val="000000"/>
        </w:rPr>
      </w:pPr>
      <w:r w:rsidRPr="00960D36">
        <w:rPr>
          <w:color w:val="000000"/>
        </w:rPr>
        <w:t xml:space="preserve">Critique sheet 1- IS evaluation used by the experts </w:t>
      </w:r>
    </w:p>
    <w:p w14:paraId="6D6921E0" w14:textId="77777777" w:rsidR="00C5778C" w:rsidRDefault="00C5778C" w:rsidP="00C5778C">
      <w:pPr>
        <w:pStyle w:val="NormalWeb"/>
        <w:numPr>
          <w:ilvl w:val="0"/>
          <w:numId w:val="1"/>
        </w:numPr>
        <w:spacing w:before="240" w:beforeAutospacing="0" w:after="240" w:afterAutospacing="0"/>
        <w:rPr>
          <w:color w:val="000000"/>
        </w:rPr>
      </w:pPr>
      <w:r w:rsidRPr="00960D36">
        <w:rPr>
          <w:color w:val="000000"/>
        </w:rPr>
        <w:lastRenderedPageBreak/>
        <w:t>Critique s</w:t>
      </w:r>
      <w:r w:rsidRPr="00CC654B">
        <w:rPr>
          <w:color w:val="000000"/>
        </w:rPr>
        <w:t xml:space="preserve">heet 2- </w:t>
      </w:r>
      <w:r>
        <w:rPr>
          <w:color w:val="000000"/>
        </w:rPr>
        <w:t xml:space="preserve">self-evaluation - filled by the learners at the end of each cycle </w:t>
      </w:r>
    </w:p>
    <w:p w14:paraId="75458F2C" w14:textId="77777777" w:rsidR="00C5778C" w:rsidRDefault="00C5778C" w:rsidP="00C5778C">
      <w:pPr>
        <w:pStyle w:val="NormalWeb"/>
        <w:numPr>
          <w:ilvl w:val="0"/>
          <w:numId w:val="1"/>
        </w:numPr>
        <w:spacing w:before="240" w:beforeAutospacing="0" w:after="240" w:afterAutospacing="0"/>
        <w:rPr>
          <w:color w:val="000000"/>
        </w:rPr>
      </w:pPr>
      <w:r w:rsidRPr="00CC654B">
        <w:rPr>
          <w:color w:val="000000"/>
        </w:rPr>
        <w:t xml:space="preserve">Learners’ Daily Diary Entries (LDDEs). </w:t>
      </w:r>
    </w:p>
    <w:p w14:paraId="0892947B" w14:textId="77777777" w:rsidR="00C5778C" w:rsidRPr="00CC654B" w:rsidRDefault="00C5778C" w:rsidP="00C5778C">
      <w:pPr>
        <w:pStyle w:val="NormalWeb"/>
        <w:spacing w:before="240" w:beforeAutospacing="0" w:after="240" w:afterAutospacing="0"/>
      </w:pPr>
      <w:r w:rsidRPr="00CC654B">
        <w:rPr>
          <w:color w:val="000000"/>
        </w:rPr>
        <w:t>The learners were randomly placed in five groups of six students. Experts’ evaluations, learner-self evaluations and learner diary-entries were examined at the end of each cycle. The evaluation criteria included delivery, clarity, introduction, content and ending and feedback was given based on a Likert scale (where 1 = indicated ‘should improve very much’ and 5 indicated = ‘very good’).</w:t>
      </w:r>
    </w:p>
    <w:p w14:paraId="7A56F225" w14:textId="77777777" w:rsidR="00C5778C" w:rsidRPr="00CC654B" w:rsidRDefault="00C5778C" w:rsidP="00C5778C">
      <w:pPr>
        <w:pStyle w:val="NormalWeb"/>
        <w:spacing w:before="240" w:beforeAutospacing="0" w:after="240" w:afterAutospacing="0"/>
        <w:rPr>
          <w:b/>
          <w:bCs/>
          <w:color w:val="000000"/>
        </w:rPr>
      </w:pPr>
      <w:r w:rsidRPr="00CC654B">
        <w:rPr>
          <w:b/>
          <w:bCs/>
          <w:color w:val="000000"/>
        </w:rPr>
        <w:t>Results and Discussion</w:t>
      </w:r>
    </w:p>
    <w:p w14:paraId="74946FDF" w14:textId="77777777" w:rsidR="00C5778C" w:rsidRPr="00CC654B" w:rsidRDefault="00C5778C" w:rsidP="00C5778C">
      <w:pPr>
        <w:pStyle w:val="NormalWeb"/>
        <w:spacing w:before="240" w:beforeAutospacing="0" w:after="240" w:afterAutospacing="0"/>
      </w:pPr>
      <w:r w:rsidRPr="00CC654B">
        <w:rPr>
          <w:color w:val="000000"/>
        </w:rPr>
        <w:t>The data was examined cycle by cycle, in order to ascertain whether IS a) can train and motivate learners who are reluctant and tongue-tied, to speak before a small audience, and whether IS b) enhances learner confidence in speaking.</w:t>
      </w:r>
    </w:p>
    <w:p w14:paraId="7D94B6B8" w14:textId="77777777" w:rsidR="00C5778C" w:rsidRPr="00CC654B" w:rsidRDefault="00C5778C" w:rsidP="00C5778C">
      <w:pPr>
        <w:pStyle w:val="NormalWeb"/>
        <w:spacing w:before="240" w:beforeAutospacing="0" w:after="240" w:afterAutospacing="0"/>
      </w:pPr>
      <w:r w:rsidRPr="00CC654B">
        <w:rPr>
          <w:noProof/>
          <w:color w:val="000000"/>
          <w:bdr w:val="none" w:sz="0" w:space="0" w:color="auto" w:frame="1"/>
          <w:lang w:val="en-GB" w:eastAsia="en-GB" w:bidi="si-LK"/>
        </w:rPr>
        <w:drawing>
          <wp:inline distT="0" distB="0" distL="0" distR="0" wp14:anchorId="195485F0" wp14:editId="5AA2F631">
            <wp:extent cx="3528060" cy="2125980"/>
            <wp:effectExtent l="0" t="0" r="0" b="0"/>
            <wp:docPr id="2" name="Picture 2" descr="https://lh4.googleusercontent.com/Ae7MrSdJ0PxWbNW3ODxiztopYnI4XvCL6R7yDMu1Hy7xPqtxzQKs1aQwvx9rgNnjXv4HqfOxyyDxhqblykaSKNcGpZvD8UZIJ6wHL3u1Mc8jYqP32fB3fxsyPi2J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Ae7MrSdJ0PxWbNW3ODxiztopYnI4XvCL6R7yDMu1Hy7xPqtxzQKs1aQwvx9rgNnjXv4HqfOxyyDxhqblykaSKNcGpZvD8UZIJ6wHL3u1Mc8jYqP32fB3fxsyPi2JH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8060" cy="2125980"/>
                    </a:xfrm>
                    <a:prstGeom prst="rect">
                      <a:avLst/>
                    </a:prstGeom>
                    <a:noFill/>
                    <a:ln>
                      <a:noFill/>
                    </a:ln>
                  </pic:spPr>
                </pic:pic>
              </a:graphicData>
            </a:graphic>
          </wp:inline>
        </w:drawing>
      </w:r>
    </w:p>
    <w:p w14:paraId="4D32A2A9" w14:textId="77777777" w:rsidR="00C5778C" w:rsidRPr="00CC654B" w:rsidRDefault="00C5778C" w:rsidP="00C5778C">
      <w:pPr>
        <w:pStyle w:val="NormalWeb"/>
        <w:spacing w:before="240" w:beforeAutospacing="0" w:after="240" w:afterAutospacing="0"/>
      </w:pPr>
      <w:r w:rsidRPr="00CC654B">
        <w:rPr>
          <w:color w:val="000000"/>
        </w:rPr>
        <w:t xml:space="preserve">Figure1: Comparison of </w:t>
      </w:r>
      <w:r>
        <w:rPr>
          <w:color w:val="000000"/>
        </w:rPr>
        <w:t>l</w:t>
      </w:r>
      <w:r w:rsidRPr="00CC654B">
        <w:rPr>
          <w:color w:val="000000"/>
        </w:rPr>
        <w:t>earner self-evaluations - Cycles I</w:t>
      </w:r>
      <w:proofErr w:type="gramStart"/>
      <w:r w:rsidRPr="00CC654B">
        <w:rPr>
          <w:color w:val="000000"/>
        </w:rPr>
        <w:t>,II</w:t>
      </w:r>
      <w:proofErr w:type="gramEnd"/>
      <w:r w:rsidRPr="00CC654B">
        <w:rPr>
          <w:color w:val="000000"/>
        </w:rPr>
        <w:t>&amp; III</w:t>
      </w:r>
    </w:p>
    <w:p w14:paraId="2A9703F0" w14:textId="77777777" w:rsidR="00C5778C" w:rsidRPr="00CC654B" w:rsidRDefault="00C5778C" w:rsidP="00C5778C">
      <w:pPr>
        <w:pStyle w:val="NormalWeb"/>
        <w:spacing w:before="240" w:beforeAutospacing="0" w:after="240" w:afterAutospacing="0"/>
        <w:ind w:right="120"/>
      </w:pPr>
      <w:r w:rsidRPr="00CC654B">
        <w:rPr>
          <w:color w:val="000000"/>
        </w:rPr>
        <w:t xml:space="preserve">The mean scores at Cycle I show that, at the early stage of the IS intervention, learners believe that they are performing at near-average level in the five variants. However, examination of the LDDEs revealed that the number of negative comments exceed the number of positive comments - Positive </w:t>
      </w:r>
      <w:r>
        <w:rPr>
          <w:color w:val="000000"/>
        </w:rPr>
        <w:t>C</w:t>
      </w:r>
      <w:r w:rsidRPr="00CC654B">
        <w:rPr>
          <w:color w:val="000000"/>
        </w:rPr>
        <w:t xml:space="preserve">omments (PC): 108 (44%) vs. Negative </w:t>
      </w:r>
      <w:r>
        <w:rPr>
          <w:color w:val="000000"/>
        </w:rPr>
        <w:t>C</w:t>
      </w:r>
      <w:r w:rsidRPr="00CC654B">
        <w:rPr>
          <w:color w:val="000000"/>
        </w:rPr>
        <w:t xml:space="preserve">omments (NC): 140 (56%). NCs suggests poor confidence. </w:t>
      </w:r>
      <w:r>
        <w:rPr>
          <w:color w:val="000000"/>
        </w:rPr>
        <w:t>The d</w:t>
      </w:r>
      <w:r w:rsidRPr="00CC654B">
        <w:rPr>
          <w:color w:val="000000"/>
        </w:rPr>
        <w:t>iary entries reveal the specific areas where learners felt they lacked confidence or were uneasy. </w:t>
      </w:r>
    </w:p>
    <w:p w14:paraId="7E7EE028" w14:textId="77777777" w:rsidR="00C5778C" w:rsidRPr="00CC654B" w:rsidRDefault="00C5778C" w:rsidP="00C5778C">
      <w:pPr>
        <w:pStyle w:val="NormalWeb"/>
        <w:spacing w:before="0" w:beforeAutospacing="0" w:after="160" w:afterAutospacing="0"/>
        <w:ind w:right="120"/>
      </w:pPr>
      <w:r w:rsidRPr="00CC654B">
        <w:rPr>
          <w:color w:val="000000"/>
        </w:rPr>
        <w:t xml:space="preserve">L2: </w:t>
      </w:r>
      <w:r w:rsidRPr="00CC654B">
        <w:rPr>
          <w:i/>
          <w:iCs/>
          <w:color w:val="000000"/>
        </w:rPr>
        <w:t xml:space="preserve">“I was </w:t>
      </w:r>
      <w:r w:rsidRPr="00CC654B">
        <w:rPr>
          <w:i/>
          <w:iCs/>
          <w:color w:val="000000"/>
          <w:u w:val="single"/>
        </w:rPr>
        <w:t xml:space="preserve">feeling nervous </w:t>
      </w:r>
      <w:r w:rsidRPr="00CC654B">
        <w:rPr>
          <w:i/>
          <w:iCs/>
          <w:color w:val="000000"/>
        </w:rPr>
        <w:t xml:space="preserve">... …, </w:t>
      </w:r>
      <w:r w:rsidRPr="00CC654B">
        <w:rPr>
          <w:i/>
          <w:iCs/>
          <w:color w:val="000000"/>
          <w:u w:val="single"/>
        </w:rPr>
        <w:t xml:space="preserve">I forgot </w:t>
      </w:r>
      <w:r w:rsidRPr="00CC654B">
        <w:rPr>
          <w:i/>
          <w:iCs/>
          <w:color w:val="000000"/>
        </w:rPr>
        <w:t xml:space="preserve">the points that I remembered to tell. And </w:t>
      </w:r>
      <w:r w:rsidRPr="00CC654B">
        <w:rPr>
          <w:i/>
          <w:iCs/>
          <w:color w:val="000000"/>
          <w:u w:val="single"/>
        </w:rPr>
        <w:t xml:space="preserve">I </w:t>
      </w:r>
      <w:r>
        <w:rPr>
          <w:i/>
          <w:iCs/>
          <w:color w:val="000000"/>
          <w:u w:val="single"/>
        </w:rPr>
        <w:t xml:space="preserve">even </w:t>
      </w:r>
      <w:r w:rsidRPr="00CC654B">
        <w:rPr>
          <w:i/>
          <w:iCs/>
          <w:color w:val="000000"/>
          <w:u w:val="single"/>
        </w:rPr>
        <w:t xml:space="preserve">forgot the ending </w:t>
      </w:r>
      <w:r w:rsidRPr="00CC654B">
        <w:rPr>
          <w:i/>
          <w:iCs/>
          <w:color w:val="000000"/>
        </w:rPr>
        <w:t>thing….”</w:t>
      </w:r>
    </w:p>
    <w:p w14:paraId="646A53CB" w14:textId="77777777" w:rsidR="00C5778C" w:rsidRPr="00CC654B" w:rsidRDefault="00C5778C" w:rsidP="00C5778C">
      <w:pPr>
        <w:pStyle w:val="NormalWeb"/>
        <w:spacing w:before="80" w:beforeAutospacing="0" w:after="160" w:afterAutospacing="0"/>
        <w:ind w:right="120"/>
      </w:pPr>
      <w:r w:rsidRPr="00CC654B">
        <w:rPr>
          <w:color w:val="000000"/>
        </w:rPr>
        <w:t xml:space="preserve">L21: </w:t>
      </w:r>
      <w:r w:rsidRPr="00CC654B">
        <w:rPr>
          <w:i/>
          <w:iCs/>
          <w:color w:val="000000"/>
        </w:rPr>
        <w:t xml:space="preserve">I think even if difficult I must go because I can improve. But </w:t>
      </w:r>
      <w:r w:rsidRPr="00CC654B">
        <w:rPr>
          <w:i/>
          <w:iCs/>
          <w:color w:val="000000"/>
          <w:u w:val="single"/>
        </w:rPr>
        <w:t>I feel very</w:t>
      </w:r>
      <w:proofErr w:type="gramStart"/>
      <w:r w:rsidRPr="00CC654B">
        <w:rPr>
          <w:i/>
          <w:iCs/>
          <w:color w:val="000000"/>
        </w:rPr>
        <w:t xml:space="preserve">  </w:t>
      </w:r>
      <w:r w:rsidRPr="00CC654B">
        <w:rPr>
          <w:i/>
          <w:iCs/>
          <w:color w:val="000000"/>
          <w:u w:val="single"/>
        </w:rPr>
        <w:t>nervous</w:t>
      </w:r>
      <w:proofErr w:type="gramEnd"/>
      <w:r w:rsidRPr="00CC654B">
        <w:rPr>
          <w:i/>
          <w:iCs/>
          <w:color w:val="000000"/>
          <w:u w:val="single"/>
        </w:rPr>
        <w:t xml:space="preserve"> and </w:t>
      </w:r>
      <w:r>
        <w:rPr>
          <w:i/>
          <w:iCs/>
          <w:color w:val="000000"/>
          <w:u w:val="single"/>
        </w:rPr>
        <w:t xml:space="preserve">it is </w:t>
      </w:r>
      <w:r w:rsidRPr="00CC654B">
        <w:rPr>
          <w:i/>
          <w:iCs/>
          <w:color w:val="000000"/>
          <w:u w:val="single"/>
        </w:rPr>
        <w:t>difficult</w:t>
      </w:r>
      <w:r w:rsidRPr="00CC654B">
        <w:rPr>
          <w:i/>
          <w:iCs/>
          <w:color w:val="000000"/>
        </w:rPr>
        <w:t xml:space="preserve">. I </w:t>
      </w:r>
      <w:proofErr w:type="spellStart"/>
      <w:r>
        <w:rPr>
          <w:i/>
          <w:iCs/>
          <w:color w:val="000000"/>
        </w:rPr>
        <w:t>was</w:t>
      </w:r>
      <w:r w:rsidRPr="00CC654B">
        <w:rPr>
          <w:i/>
          <w:iCs/>
          <w:color w:val="000000"/>
          <w:u w:val="single"/>
        </w:rPr>
        <w:t>sweating</w:t>
      </w:r>
      <w:proofErr w:type="spellEnd"/>
      <w:r w:rsidRPr="00CC654B">
        <w:rPr>
          <w:i/>
          <w:iCs/>
          <w:color w:val="000000"/>
          <w:u w:val="single"/>
        </w:rPr>
        <w:t xml:space="preserve"> </w:t>
      </w:r>
      <w:r w:rsidRPr="00CC654B">
        <w:rPr>
          <w:i/>
          <w:iCs/>
          <w:color w:val="000000"/>
        </w:rPr>
        <w:t xml:space="preserve">and </w:t>
      </w:r>
      <w:r w:rsidRPr="00CC654B">
        <w:rPr>
          <w:i/>
          <w:iCs/>
          <w:color w:val="000000"/>
          <w:u w:val="single"/>
        </w:rPr>
        <w:t xml:space="preserve">I </w:t>
      </w:r>
      <w:r>
        <w:rPr>
          <w:i/>
          <w:iCs/>
          <w:color w:val="000000"/>
          <w:u w:val="single"/>
        </w:rPr>
        <w:t xml:space="preserve">don’t </w:t>
      </w:r>
      <w:r w:rsidRPr="00CC654B">
        <w:rPr>
          <w:i/>
          <w:iCs/>
          <w:color w:val="000000"/>
          <w:u w:val="single"/>
        </w:rPr>
        <w:t xml:space="preserve">think I </w:t>
      </w:r>
      <w:proofErr w:type="spellStart"/>
      <w:r w:rsidRPr="00CC654B">
        <w:rPr>
          <w:i/>
          <w:iCs/>
          <w:color w:val="000000"/>
          <w:u w:val="single"/>
        </w:rPr>
        <w:t>canspeak</w:t>
      </w:r>
      <w:proofErr w:type="spellEnd"/>
      <w:r w:rsidRPr="00CC654B">
        <w:rPr>
          <w:i/>
          <w:iCs/>
          <w:color w:val="000000"/>
          <w:u w:val="single"/>
        </w:rPr>
        <w:t xml:space="preserve"> in front</w:t>
      </w:r>
      <w:r>
        <w:rPr>
          <w:i/>
          <w:iCs/>
          <w:color w:val="000000"/>
          <w:u w:val="single"/>
        </w:rPr>
        <w:t xml:space="preserve"> of a crowd</w:t>
      </w:r>
      <w:r w:rsidRPr="00CC654B">
        <w:rPr>
          <w:color w:val="000000"/>
        </w:rPr>
        <w:t>.</w:t>
      </w:r>
    </w:p>
    <w:p w14:paraId="5E1D76EC" w14:textId="77777777" w:rsidR="00C5778C" w:rsidRPr="00CC654B" w:rsidRDefault="00C5778C" w:rsidP="00C5778C">
      <w:pPr>
        <w:pStyle w:val="NormalWeb"/>
        <w:spacing w:before="60" w:beforeAutospacing="0" w:after="0" w:afterAutospacing="0"/>
        <w:ind w:right="120"/>
      </w:pPr>
      <w:r w:rsidRPr="00CC654B">
        <w:rPr>
          <w:color w:val="000000"/>
        </w:rPr>
        <w:t>Learners, even those who believe they ‘can improve’ are anxious and tense which, in turn, make them tongue-tied. T</w:t>
      </w:r>
      <w:r>
        <w:rPr>
          <w:color w:val="000000"/>
        </w:rPr>
        <w:t>he t</w:t>
      </w:r>
      <w:r w:rsidRPr="00CC654B">
        <w:rPr>
          <w:color w:val="000000"/>
        </w:rPr>
        <w:t xml:space="preserve">eacher and peer presence </w:t>
      </w:r>
      <w:r>
        <w:rPr>
          <w:color w:val="000000"/>
        </w:rPr>
        <w:t xml:space="preserve">also had an </w:t>
      </w:r>
      <w:r w:rsidRPr="00CC654B">
        <w:rPr>
          <w:color w:val="000000"/>
        </w:rPr>
        <w:t xml:space="preserve">impact on their confidence. Although </w:t>
      </w:r>
      <w:r>
        <w:rPr>
          <w:color w:val="000000"/>
        </w:rPr>
        <w:t xml:space="preserve">the </w:t>
      </w:r>
      <w:r w:rsidRPr="00CC654B">
        <w:rPr>
          <w:color w:val="000000"/>
        </w:rPr>
        <w:t xml:space="preserve">learners </w:t>
      </w:r>
      <w:r>
        <w:rPr>
          <w:color w:val="000000"/>
        </w:rPr>
        <w:t xml:space="preserve">gradually became </w:t>
      </w:r>
      <w:r w:rsidRPr="00CC654B">
        <w:rPr>
          <w:color w:val="000000"/>
        </w:rPr>
        <w:t xml:space="preserve">aware of their own lack of confidence and </w:t>
      </w:r>
      <w:r>
        <w:rPr>
          <w:color w:val="000000"/>
        </w:rPr>
        <w:t xml:space="preserve">other related </w:t>
      </w:r>
      <w:r w:rsidRPr="00CC654B">
        <w:rPr>
          <w:color w:val="000000"/>
        </w:rPr>
        <w:t>weaknesses, they d</w:t>
      </w:r>
      <w:r>
        <w:rPr>
          <w:color w:val="000000"/>
        </w:rPr>
        <w:t xml:space="preserve">id </w:t>
      </w:r>
      <w:r w:rsidRPr="00CC654B">
        <w:rPr>
          <w:color w:val="000000"/>
        </w:rPr>
        <w:t>not seem to be aware of the aspects of speech they need</w:t>
      </w:r>
      <w:r>
        <w:rPr>
          <w:color w:val="000000"/>
        </w:rPr>
        <w:t>ed</w:t>
      </w:r>
      <w:r w:rsidRPr="00CC654B">
        <w:rPr>
          <w:color w:val="000000"/>
        </w:rPr>
        <w:t xml:space="preserve"> to improve.</w:t>
      </w:r>
    </w:p>
    <w:p w14:paraId="2B683652" w14:textId="77777777" w:rsidR="00C5778C" w:rsidRPr="00CC654B" w:rsidRDefault="00C5778C" w:rsidP="00C5778C">
      <w:pPr>
        <w:pStyle w:val="NormalWeb"/>
        <w:spacing w:before="200" w:beforeAutospacing="0" w:after="0" w:afterAutospacing="0"/>
        <w:ind w:right="120"/>
        <w:rPr>
          <w:color w:val="000000"/>
        </w:rPr>
      </w:pPr>
      <w:r w:rsidRPr="00CC654B">
        <w:rPr>
          <w:color w:val="000000"/>
        </w:rPr>
        <w:lastRenderedPageBreak/>
        <w:t xml:space="preserve">Learner self-evaluations have changed </w:t>
      </w:r>
      <w:proofErr w:type="gramStart"/>
      <w:r>
        <w:rPr>
          <w:color w:val="000000"/>
        </w:rPr>
        <w:t>during .</w:t>
      </w:r>
      <w:proofErr w:type="gramEnd"/>
      <w:r>
        <w:rPr>
          <w:color w:val="000000"/>
        </w:rPr>
        <w:t xml:space="preserve"> This is </w:t>
      </w:r>
      <w:r w:rsidRPr="00CC654B">
        <w:rPr>
          <w:color w:val="000000"/>
        </w:rPr>
        <w:t xml:space="preserve">perhaps a result of becoming aware of the complexities involved </w:t>
      </w:r>
      <w:r>
        <w:rPr>
          <w:color w:val="000000"/>
        </w:rPr>
        <w:t xml:space="preserve">in </w:t>
      </w:r>
      <w:r w:rsidRPr="00CC654B">
        <w:rPr>
          <w:color w:val="000000"/>
        </w:rPr>
        <w:t xml:space="preserve">becoming more critical of their own performances. LDDEs show - PCs 169 (68%) NCs 78 (32%). The increase in PCs from Cycle I to Cycle II suggests an increase in confidence and the diary entries reveal the reasons for these changes in </w:t>
      </w:r>
      <w:r>
        <w:rPr>
          <w:color w:val="000000"/>
        </w:rPr>
        <w:t xml:space="preserve">their </w:t>
      </w:r>
      <w:r w:rsidRPr="00CC654B">
        <w:rPr>
          <w:color w:val="000000"/>
        </w:rPr>
        <w:t>thinking.</w:t>
      </w:r>
    </w:p>
    <w:p w14:paraId="57F8A18F" w14:textId="77777777" w:rsidR="00C5778C" w:rsidRPr="00CC654B" w:rsidRDefault="00C5778C" w:rsidP="00C5778C">
      <w:pPr>
        <w:pStyle w:val="NormalWeb"/>
        <w:spacing w:before="200" w:beforeAutospacing="0" w:after="0" w:afterAutospacing="0"/>
        <w:ind w:right="120"/>
      </w:pPr>
      <w:r w:rsidRPr="00CC654B">
        <w:rPr>
          <w:color w:val="000000"/>
        </w:rPr>
        <w:t> </w:t>
      </w:r>
    </w:p>
    <w:p w14:paraId="785AC682" w14:textId="77777777" w:rsidR="00C5778C" w:rsidRPr="00CC654B" w:rsidRDefault="00C5778C" w:rsidP="00C5778C">
      <w:pPr>
        <w:pStyle w:val="NormalWeb"/>
        <w:spacing w:before="0" w:beforeAutospacing="0" w:after="160" w:afterAutospacing="0"/>
        <w:ind w:right="180"/>
      </w:pPr>
      <w:r w:rsidRPr="00CC654B">
        <w:rPr>
          <w:i/>
          <w:iCs/>
          <w:color w:val="000000"/>
        </w:rPr>
        <w:t xml:space="preserve">L8: When I went in front </w:t>
      </w:r>
      <w:r>
        <w:rPr>
          <w:i/>
          <w:iCs/>
          <w:color w:val="000000"/>
        </w:rPr>
        <w:t xml:space="preserve">of the class </w:t>
      </w:r>
      <w:r w:rsidRPr="00CC654B">
        <w:rPr>
          <w:i/>
          <w:iCs/>
          <w:color w:val="000000"/>
        </w:rPr>
        <w:t xml:space="preserve">today </w:t>
      </w:r>
      <w:r w:rsidRPr="00CC654B">
        <w:rPr>
          <w:i/>
          <w:iCs/>
          <w:color w:val="000000"/>
          <w:u w:val="single"/>
        </w:rPr>
        <w:t xml:space="preserve">my heart rate </w:t>
      </w:r>
      <w:r>
        <w:rPr>
          <w:i/>
          <w:iCs/>
          <w:color w:val="000000"/>
          <w:u w:val="single"/>
        </w:rPr>
        <w:t>went up.</w:t>
      </w:r>
      <w:r w:rsidRPr="00CC654B">
        <w:rPr>
          <w:i/>
          <w:iCs/>
          <w:color w:val="000000"/>
        </w:rPr>
        <w:t xml:space="preserve"> However, I </w:t>
      </w:r>
      <w:proofErr w:type="spellStart"/>
      <w:r>
        <w:rPr>
          <w:i/>
          <w:iCs/>
          <w:color w:val="000000"/>
        </w:rPr>
        <w:t>am</w:t>
      </w:r>
      <w:r w:rsidRPr="00CC654B">
        <w:rPr>
          <w:i/>
          <w:iCs/>
          <w:color w:val="000000"/>
          <w:u w:val="single"/>
        </w:rPr>
        <w:t>happy</w:t>
      </w:r>
      <w:proofErr w:type="spellEnd"/>
      <w:r w:rsidRPr="00CC654B">
        <w:rPr>
          <w:i/>
          <w:iCs/>
          <w:color w:val="000000"/>
          <w:u w:val="single"/>
        </w:rPr>
        <w:t xml:space="preserve"> with the way </w:t>
      </w:r>
      <w:r>
        <w:rPr>
          <w:i/>
          <w:iCs/>
          <w:color w:val="000000"/>
          <w:u w:val="single"/>
        </w:rPr>
        <w:t xml:space="preserve">my speech </w:t>
      </w:r>
      <w:r w:rsidRPr="00CC654B">
        <w:rPr>
          <w:i/>
          <w:iCs/>
          <w:color w:val="000000"/>
          <w:u w:val="single"/>
        </w:rPr>
        <w:t>finished</w:t>
      </w:r>
      <w:r w:rsidRPr="00CC654B">
        <w:rPr>
          <w:i/>
          <w:iCs/>
          <w:color w:val="000000"/>
        </w:rPr>
        <w:t>. </w:t>
      </w:r>
      <w:r>
        <w:rPr>
          <w:i/>
          <w:iCs/>
          <w:color w:val="000000"/>
        </w:rPr>
        <w:t xml:space="preserve">What Madam has taught us helped me. </w:t>
      </w:r>
    </w:p>
    <w:p w14:paraId="4D7E6814" w14:textId="77777777" w:rsidR="00C5778C" w:rsidRPr="00CC654B" w:rsidRDefault="00C5778C" w:rsidP="00C5778C">
      <w:pPr>
        <w:pStyle w:val="NormalWeb"/>
        <w:spacing w:before="80" w:beforeAutospacing="0" w:after="160" w:afterAutospacing="0"/>
        <w:ind w:right="240"/>
      </w:pPr>
      <w:r w:rsidRPr="00CC654B">
        <w:rPr>
          <w:i/>
          <w:iCs/>
          <w:color w:val="000000"/>
        </w:rPr>
        <w:t xml:space="preserve">L30:   I have </w:t>
      </w:r>
      <w:r w:rsidRPr="00CC654B">
        <w:rPr>
          <w:i/>
          <w:iCs/>
          <w:color w:val="000000"/>
          <w:u w:val="single"/>
        </w:rPr>
        <w:t>improved a lot</w:t>
      </w:r>
      <w:r w:rsidRPr="00CC654B">
        <w:rPr>
          <w:i/>
          <w:iCs/>
          <w:color w:val="000000"/>
        </w:rPr>
        <w:t xml:space="preserve">. It is great </w:t>
      </w:r>
      <w:r w:rsidRPr="00CC654B">
        <w:rPr>
          <w:i/>
          <w:iCs/>
          <w:color w:val="000000"/>
          <w:u w:val="single"/>
        </w:rPr>
        <w:t xml:space="preserve">to </w:t>
      </w:r>
      <w:proofErr w:type="spellStart"/>
      <w:r w:rsidRPr="00CC654B">
        <w:rPr>
          <w:i/>
          <w:iCs/>
          <w:color w:val="000000"/>
          <w:u w:val="single"/>
        </w:rPr>
        <w:t>learn</w:t>
      </w:r>
      <w:r>
        <w:rPr>
          <w:i/>
          <w:iCs/>
          <w:color w:val="000000"/>
          <w:u w:val="single"/>
        </w:rPr>
        <w:t>about</w:t>
      </w:r>
      <w:proofErr w:type="spellEnd"/>
      <w:r>
        <w:rPr>
          <w:i/>
          <w:iCs/>
          <w:color w:val="000000"/>
          <w:u w:val="single"/>
        </w:rPr>
        <w:t xml:space="preserve"> giving </w:t>
      </w:r>
      <w:proofErr w:type="gramStart"/>
      <w:r>
        <w:rPr>
          <w:i/>
          <w:iCs/>
          <w:color w:val="000000"/>
          <w:u w:val="single"/>
        </w:rPr>
        <w:t xml:space="preserve">a </w:t>
      </w:r>
      <w:r w:rsidRPr="00CC654B">
        <w:rPr>
          <w:i/>
          <w:iCs/>
          <w:color w:val="000000"/>
          <w:u w:val="single"/>
        </w:rPr>
        <w:t xml:space="preserve"> speech</w:t>
      </w:r>
      <w:proofErr w:type="gramEnd"/>
      <w:r w:rsidRPr="00CC654B">
        <w:rPr>
          <w:i/>
          <w:iCs/>
          <w:color w:val="000000"/>
        </w:rPr>
        <w:t xml:space="preserve">. </w:t>
      </w:r>
      <w:r>
        <w:rPr>
          <w:i/>
          <w:iCs/>
          <w:color w:val="000000"/>
        </w:rPr>
        <w:t>Now I</w:t>
      </w:r>
      <w:r w:rsidRPr="00CC654B">
        <w:rPr>
          <w:i/>
          <w:iCs/>
          <w:color w:val="000000"/>
          <w:u w:val="single"/>
        </w:rPr>
        <w:t xml:space="preserve">so many words </w:t>
      </w:r>
      <w:r>
        <w:rPr>
          <w:i/>
          <w:iCs/>
          <w:color w:val="000000"/>
          <w:u w:val="single"/>
        </w:rPr>
        <w:t xml:space="preserve">I can use in my speech. </w:t>
      </w:r>
      <w:r w:rsidRPr="00CC654B">
        <w:rPr>
          <w:i/>
          <w:iCs/>
          <w:color w:val="000000"/>
        </w:rPr>
        <w:t xml:space="preserve"> I am </w:t>
      </w:r>
      <w:r w:rsidRPr="00CC654B">
        <w:rPr>
          <w:i/>
          <w:iCs/>
          <w:color w:val="000000"/>
          <w:u w:val="single"/>
        </w:rPr>
        <w:t>not afraid to come</w:t>
      </w:r>
      <w:r>
        <w:rPr>
          <w:i/>
          <w:iCs/>
          <w:color w:val="000000"/>
          <w:u w:val="single"/>
        </w:rPr>
        <w:t xml:space="preserve"> to the</w:t>
      </w:r>
      <w:r w:rsidRPr="00CC654B">
        <w:rPr>
          <w:i/>
          <w:iCs/>
          <w:color w:val="000000"/>
          <w:u w:val="single"/>
        </w:rPr>
        <w:t xml:space="preserve"> front now.</w:t>
      </w:r>
    </w:p>
    <w:p w14:paraId="056BB50A" w14:textId="77777777" w:rsidR="00C5778C" w:rsidRPr="00CC654B" w:rsidRDefault="00C5778C" w:rsidP="00C5778C">
      <w:pPr>
        <w:pStyle w:val="NormalWeb"/>
        <w:spacing w:before="80" w:beforeAutospacing="0" w:after="160" w:afterAutospacing="0"/>
        <w:ind w:right="240"/>
        <w:rPr>
          <w:color w:val="000000"/>
        </w:rPr>
      </w:pPr>
      <w:r>
        <w:rPr>
          <w:color w:val="000000"/>
        </w:rPr>
        <w:t>The d</w:t>
      </w:r>
      <w:r w:rsidRPr="00CC654B">
        <w:rPr>
          <w:color w:val="000000"/>
        </w:rPr>
        <w:t xml:space="preserve">ecrease in physical manifestations of nervousness shows </w:t>
      </w:r>
      <w:r>
        <w:rPr>
          <w:color w:val="000000"/>
        </w:rPr>
        <w:t xml:space="preserve">that </w:t>
      </w:r>
      <w:r w:rsidRPr="00CC654B">
        <w:rPr>
          <w:color w:val="000000"/>
        </w:rPr>
        <w:t xml:space="preserve">the </w:t>
      </w:r>
      <w:r>
        <w:rPr>
          <w:color w:val="000000"/>
        </w:rPr>
        <w:t xml:space="preserve">students have </w:t>
      </w:r>
      <w:r w:rsidRPr="00CC654B">
        <w:rPr>
          <w:color w:val="000000"/>
        </w:rPr>
        <w:t>gain</w:t>
      </w:r>
      <w:r>
        <w:rPr>
          <w:color w:val="000000"/>
        </w:rPr>
        <w:t>ed</w:t>
      </w:r>
      <w:r w:rsidRPr="00CC654B">
        <w:rPr>
          <w:color w:val="000000"/>
        </w:rPr>
        <w:t xml:space="preserve"> confidence. </w:t>
      </w:r>
      <w:r>
        <w:rPr>
          <w:color w:val="000000"/>
        </w:rPr>
        <w:t xml:space="preserve">Data revealed </w:t>
      </w:r>
      <w:r w:rsidRPr="00CC654B">
        <w:rPr>
          <w:color w:val="000000"/>
        </w:rPr>
        <w:t xml:space="preserve">that gaining new knowledge and </w:t>
      </w:r>
      <w:proofErr w:type="gramStart"/>
      <w:r>
        <w:rPr>
          <w:color w:val="000000"/>
        </w:rPr>
        <w:t xml:space="preserve">opportunities </w:t>
      </w:r>
      <w:r w:rsidRPr="00CC654B">
        <w:rPr>
          <w:color w:val="000000"/>
        </w:rPr>
        <w:t xml:space="preserve"> in</w:t>
      </w:r>
      <w:proofErr w:type="gramEnd"/>
      <w:r w:rsidRPr="00CC654B">
        <w:rPr>
          <w:color w:val="000000"/>
        </w:rPr>
        <w:t xml:space="preserve"> a non-threatening </w:t>
      </w:r>
      <w:r>
        <w:rPr>
          <w:color w:val="000000"/>
        </w:rPr>
        <w:t xml:space="preserve">and </w:t>
      </w:r>
      <w:r w:rsidRPr="00CC654B">
        <w:rPr>
          <w:color w:val="000000"/>
        </w:rPr>
        <w:t xml:space="preserve">positive classroom atmosphere </w:t>
      </w:r>
      <w:r>
        <w:rPr>
          <w:color w:val="000000"/>
        </w:rPr>
        <w:t xml:space="preserve">has the ability to </w:t>
      </w:r>
      <w:r w:rsidRPr="00CC654B">
        <w:rPr>
          <w:color w:val="000000"/>
        </w:rPr>
        <w:t>increase the learners’ level of confidence, enthusiasm and their willingness to speak in English before a small audience.</w:t>
      </w:r>
    </w:p>
    <w:p w14:paraId="100CF815" w14:textId="77777777" w:rsidR="00C5778C" w:rsidRPr="00CC654B" w:rsidRDefault="00C5778C" w:rsidP="00C5778C">
      <w:pPr>
        <w:pStyle w:val="NormalWeb"/>
        <w:spacing w:before="80" w:beforeAutospacing="0" w:after="160" w:afterAutospacing="0"/>
        <w:ind w:right="240"/>
      </w:pPr>
    </w:p>
    <w:p w14:paraId="5C9600FD" w14:textId="77777777" w:rsidR="00C5778C" w:rsidRPr="00CC654B" w:rsidRDefault="00C5778C" w:rsidP="00C5778C">
      <w:pPr>
        <w:pStyle w:val="NormalWeb"/>
        <w:spacing w:before="200" w:beforeAutospacing="0" w:after="0" w:afterAutospacing="0"/>
        <w:ind w:right="120"/>
      </w:pPr>
      <w:r w:rsidRPr="00CC654B">
        <w:rPr>
          <w:color w:val="000000"/>
        </w:rPr>
        <w:t xml:space="preserve">By the end of Cycle III, learner self-evaluations on all five variants have declined. It can be surmised that with the knowledge of techniques and competence gained, learners have become more self-critical. The marks awarded by the two experts confirms this. Figure 2 is a comparison of the mean marks awarded by the experts and the </w:t>
      </w:r>
      <w:r>
        <w:rPr>
          <w:color w:val="000000"/>
        </w:rPr>
        <w:t xml:space="preserve">students’ </w:t>
      </w:r>
      <w:r w:rsidRPr="00CC654B">
        <w:rPr>
          <w:color w:val="000000"/>
        </w:rPr>
        <w:t>self-evaluations at the end of each cycle.</w:t>
      </w:r>
    </w:p>
    <w:p w14:paraId="01B0CF11" w14:textId="77777777" w:rsidR="00C5778C" w:rsidRPr="00CC654B" w:rsidRDefault="00C5778C" w:rsidP="00C5778C">
      <w:pPr>
        <w:tabs>
          <w:tab w:val="left" w:pos="1155"/>
        </w:tabs>
        <w:jc w:val="left"/>
        <w:rPr>
          <w:sz w:val="24"/>
          <w:szCs w:val="24"/>
        </w:rPr>
      </w:pPr>
      <w:r w:rsidRPr="00CC654B">
        <w:rPr>
          <w:noProof/>
          <w:sz w:val="24"/>
          <w:szCs w:val="24"/>
          <w:lang w:eastAsia="en-GB" w:bidi="si-LK"/>
        </w:rPr>
        <w:drawing>
          <wp:inline distT="0" distB="0" distL="0" distR="0" wp14:anchorId="38CBA3DF" wp14:editId="775A7554">
            <wp:extent cx="3688080" cy="263652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047AE4" w14:textId="77777777" w:rsidR="00C5778C" w:rsidRPr="00CC654B" w:rsidRDefault="00C5778C" w:rsidP="00C5778C">
      <w:pPr>
        <w:tabs>
          <w:tab w:val="left" w:pos="1155"/>
        </w:tabs>
        <w:jc w:val="left"/>
        <w:rPr>
          <w:sz w:val="24"/>
          <w:szCs w:val="24"/>
        </w:rPr>
      </w:pPr>
      <w:r w:rsidRPr="00CC654B">
        <w:rPr>
          <w:color w:val="000000"/>
          <w:sz w:val="24"/>
          <w:szCs w:val="24"/>
        </w:rPr>
        <w:t>Figure 2: Comparison of expert and learner self-evaluations – Cycle I, II, and III</w:t>
      </w:r>
    </w:p>
    <w:p w14:paraId="01EB741F" w14:textId="77777777" w:rsidR="00C5778C" w:rsidRPr="00CC654B" w:rsidRDefault="00C5778C" w:rsidP="00C5778C">
      <w:pPr>
        <w:pStyle w:val="NormalWeb"/>
        <w:spacing w:before="180" w:beforeAutospacing="0" w:after="0" w:afterAutospacing="0"/>
        <w:ind w:right="120"/>
      </w:pPr>
      <w:r w:rsidRPr="00CC654B">
        <w:rPr>
          <w:color w:val="000000"/>
        </w:rPr>
        <w:t>It is interesting to note that while the expert evaluations increase from cycle to cycle indicating an improvement in the five areas, the self-evaluations decrease. Since the LDDEs show a progressive gain in confidence it can be inferred that development in knowledge and competencies is accompanied by an increase in confidence. </w:t>
      </w:r>
    </w:p>
    <w:p w14:paraId="40D2740C" w14:textId="77777777" w:rsidR="00C5778C" w:rsidRPr="00CC654B" w:rsidRDefault="00C5778C" w:rsidP="00C5778C">
      <w:pPr>
        <w:spacing w:before="240" w:after="240"/>
        <w:jc w:val="left"/>
        <w:rPr>
          <w:sz w:val="24"/>
          <w:szCs w:val="24"/>
        </w:rPr>
      </w:pPr>
      <w:r w:rsidRPr="00CC654B">
        <w:rPr>
          <w:color w:val="000000"/>
          <w:sz w:val="24"/>
          <w:szCs w:val="24"/>
        </w:rPr>
        <w:t>Table 1: Numbers of PC</w:t>
      </w:r>
      <w:r>
        <w:rPr>
          <w:color w:val="000000"/>
          <w:sz w:val="24"/>
          <w:szCs w:val="24"/>
        </w:rPr>
        <w:t>s</w:t>
      </w:r>
      <w:r w:rsidRPr="00CC654B">
        <w:rPr>
          <w:color w:val="000000"/>
          <w:sz w:val="24"/>
          <w:szCs w:val="24"/>
        </w:rPr>
        <w:t xml:space="preserve"> and NC</w:t>
      </w:r>
      <w:r>
        <w:rPr>
          <w:color w:val="000000"/>
          <w:sz w:val="24"/>
          <w:szCs w:val="24"/>
        </w:rPr>
        <w:t>s</w:t>
      </w:r>
      <w:r w:rsidRPr="00CC654B">
        <w:rPr>
          <w:color w:val="000000"/>
          <w:sz w:val="24"/>
          <w:szCs w:val="24"/>
        </w:rPr>
        <w:t xml:space="preserve"> Reflections in LDDEs - Cycles I, II, and III</w:t>
      </w:r>
    </w:p>
    <w:tbl>
      <w:tblPr>
        <w:tblW w:w="6794" w:type="dxa"/>
        <w:tblInd w:w="-13" w:type="dxa"/>
        <w:tblCellMar>
          <w:top w:w="15" w:type="dxa"/>
          <w:left w:w="15" w:type="dxa"/>
          <w:bottom w:w="15" w:type="dxa"/>
          <w:right w:w="15" w:type="dxa"/>
        </w:tblCellMar>
        <w:tblLook w:val="00A0" w:firstRow="1" w:lastRow="0" w:firstColumn="1" w:lastColumn="0" w:noHBand="0" w:noVBand="0"/>
      </w:tblPr>
      <w:tblGrid>
        <w:gridCol w:w="1797"/>
        <w:gridCol w:w="1603"/>
        <w:gridCol w:w="1697"/>
        <w:gridCol w:w="1697"/>
      </w:tblGrid>
      <w:tr w:rsidR="00C5778C" w:rsidRPr="00CC654B" w14:paraId="5F7AF8F3" w14:textId="77777777" w:rsidTr="00130F36">
        <w:trPr>
          <w:trHeight w:val="191"/>
        </w:trPr>
        <w:tc>
          <w:tcPr>
            <w:tcW w:w="1797" w:type="dxa"/>
            <w:tcBorders>
              <w:top w:val="single" w:sz="18" w:space="0" w:color="000000"/>
              <w:left w:val="single" w:sz="18" w:space="0" w:color="000000"/>
              <w:bottom w:val="single" w:sz="12" w:space="0" w:color="000000"/>
              <w:right w:val="single" w:sz="12" w:space="0" w:color="000000"/>
            </w:tcBorders>
            <w:tcMar>
              <w:top w:w="100" w:type="dxa"/>
              <w:left w:w="100" w:type="dxa"/>
              <w:bottom w:w="100" w:type="dxa"/>
              <w:right w:w="100" w:type="dxa"/>
            </w:tcMar>
          </w:tcPr>
          <w:p w14:paraId="64BABF56" w14:textId="77777777" w:rsidR="00C5778C" w:rsidRPr="00CC654B" w:rsidRDefault="00C5778C" w:rsidP="00130F36">
            <w:pPr>
              <w:spacing w:after="0"/>
              <w:jc w:val="left"/>
              <w:rPr>
                <w:sz w:val="24"/>
                <w:szCs w:val="24"/>
              </w:rPr>
            </w:pPr>
            <w:r w:rsidRPr="00CC654B">
              <w:rPr>
                <w:b/>
                <w:bCs/>
                <w:color w:val="000000"/>
                <w:sz w:val="24"/>
                <w:szCs w:val="24"/>
              </w:rPr>
              <w:lastRenderedPageBreak/>
              <w:t>Comments</w:t>
            </w:r>
          </w:p>
        </w:tc>
        <w:tc>
          <w:tcPr>
            <w:tcW w:w="1603" w:type="dxa"/>
            <w:tcBorders>
              <w:top w:val="single" w:sz="18" w:space="0" w:color="000000"/>
              <w:left w:val="single" w:sz="12" w:space="0" w:color="000000"/>
              <w:bottom w:val="single" w:sz="12" w:space="0" w:color="000000"/>
              <w:right w:val="single" w:sz="8" w:space="0" w:color="000000"/>
            </w:tcBorders>
            <w:tcMar>
              <w:top w:w="100" w:type="dxa"/>
              <w:left w:w="100" w:type="dxa"/>
              <w:bottom w:w="100" w:type="dxa"/>
              <w:right w:w="100" w:type="dxa"/>
            </w:tcMar>
          </w:tcPr>
          <w:p w14:paraId="6B4B21F4" w14:textId="77777777" w:rsidR="00C5778C" w:rsidRPr="00CC654B" w:rsidRDefault="00C5778C" w:rsidP="00130F36">
            <w:pPr>
              <w:spacing w:after="0"/>
              <w:jc w:val="left"/>
              <w:rPr>
                <w:sz w:val="24"/>
                <w:szCs w:val="24"/>
              </w:rPr>
            </w:pPr>
            <w:r w:rsidRPr="00CC654B">
              <w:rPr>
                <w:b/>
                <w:bCs/>
                <w:color w:val="000000"/>
                <w:sz w:val="24"/>
                <w:szCs w:val="24"/>
              </w:rPr>
              <w:t>Cycle I</w:t>
            </w:r>
          </w:p>
        </w:tc>
        <w:tc>
          <w:tcPr>
            <w:tcW w:w="1697" w:type="dxa"/>
            <w:tcBorders>
              <w:top w:val="single" w:sz="18" w:space="0" w:color="000000"/>
              <w:left w:val="single" w:sz="8" w:space="0" w:color="000000"/>
              <w:bottom w:val="single" w:sz="12" w:space="0" w:color="000000"/>
              <w:right w:val="single" w:sz="8" w:space="0" w:color="000000"/>
            </w:tcBorders>
            <w:tcMar>
              <w:top w:w="100" w:type="dxa"/>
              <w:left w:w="100" w:type="dxa"/>
              <w:bottom w:w="100" w:type="dxa"/>
              <w:right w:w="100" w:type="dxa"/>
            </w:tcMar>
          </w:tcPr>
          <w:p w14:paraId="3C627411" w14:textId="77777777" w:rsidR="00C5778C" w:rsidRPr="00CC654B" w:rsidRDefault="00C5778C" w:rsidP="00130F36">
            <w:pPr>
              <w:spacing w:after="0"/>
              <w:jc w:val="left"/>
              <w:rPr>
                <w:sz w:val="24"/>
                <w:szCs w:val="24"/>
              </w:rPr>
            </w:pPr>
            <w:r w:rsidRPr="00CC654B">
              <w:rPr>
                <w:b/>
                <w:bCs/>
                <w:color w:val="000000"/>
                <w:sz w:val="24"/>
                <w:szCs w:val="24"/>
              </w:rPr>
              <w:t>Cycle II</w:t>
            </w:r>
          </w:p>
        </w:tc>
        <w:tc>
          <w:tcPr>
            <w:tcW w:w="1697" w:type="dxa"/>
            <w:tcBorders>
              <w:top w:val="single" w:sz="18" w:space="0" w:color="000000"/>
              <w:left w:val="single" w:sz="8" w:space="0" w:color="000000"/>
              <w:bottom w:val="single" w:sz="12" w:space="0" w:color="000000"/>
              <w:right w:val="single" w:sz="12" w:space="0" w:color="000000"/>
            </w:tcBorders>
            <w:tcMar>
              <w:top w:w="100" w:type="dxa"/>
              <w:left w:w="100" w:type="dxa"/>
              <w:bottom w:w="100" w:type="dxa"/>
              <w:right w:w="100" w:type="dxa"/>
            </w:tcMar>
          </w:tcPr>
          <w:p w14:paraId="280B95B5" w14:textId="77777777" w:rsidR="00C5778C" w:rsidRPr="00CC654B" w:rsidRDefault="00C5778C" w:rsidP="00130F36">
            <w:pPr>
              <w:spacing w:after="0"/>
              <w:jc w:val="left"/>
              <w:rPr>
                <w:sz w:val="24"/>
                <w:szCs w:val="24"/>
              </w:rPr>
            </w:pPr>
            <w:r w:rsidRPr="00CC654B">
              <w:rPr>
                <w:b/>
                <w:bCs/>
                <w:color w:val="000000"/>
                <w:sz w:val="24"/>
                <w:szCs w:val="24"/>
              </w:rPr>
              <w:t>Cycle III</w:t>
            </w:r>
          </w:p>
        </w:tc>
      </w:tr>
      <w:tr w:rsidR="00C5778C" w:rsidRPr="00CC654B" w14:paraId="59CFDABB" w14:textId="77777777" w:rsidTr="00130F36">
        <w:trPr>
          <w:trHeight w:val="174"/>
        </w:trPr>
        <w:tc>
          <w:tcPr>
            <w:tcW w:w="1797" w:type="dxa"/>
            <w:tcBorders>
              <w:top w:val="single" w:sz="12" w:space="0" w:color="000000"/>
              <w:left w:val="single" w:sz="18" w:space="0" w:color="000000"/>
              <w:bottom w:val="single" w:sz="8" w:space="0" w:color="000000"/>
              <w:right w:val="single" w:sz="12" w:space="0" w:color="000000"/>
            </w:tcBorders>
            <w:tcMar>
              <w:top w:w="100" w:type="dxa"/>
              <w:left w:w="100" w:type="dxa"/>
              <w:bottom w:w="100" w:type="dxa"/>
              <w:right w:w="100" w:type="dxa"/>
            </w:tcMar>
          </w:tcPr>
          <w:p w14:paraId="0BAD64F6" w14:textId="77777777" w:rsidR="00C5778C" w:rsidRPr="00CC654B" w:rsidRDefault="00C5778C" w:rsidP="00130F36">
            <w:pPr>
              <w:spacing w:after="0"/>
              <w:jc w:val="left"/>
              <w:rPr>
                <w:sz w:val="24"/>
                <w:szCs w:val="24"/>
              </w:rPr>
            </w:pPr>
            <w:r w:rsidRPr="00CC654B">
              <w:rPr>
                <w:color w:val="000000"/>
                <w:sz w:val="24"/>
                <w:szCs w:val="24"/>
              </w:rPr>
              <w:t>Positive</w:t>
            </w:r>
          </w:p>
        </w:tc>
        <w:tc>
          <w:tcPr>
            <w:tcW w:w="1603" w:type="dxa"/>
            <w:tcBorders>
              <w:top w:val="single" w:sz="12" w:space="0" w:color="000000"/>
              <w:left w:val="single" w:sz="12" w:space="0" w:color="000000"/>
              <w:bottom w:val="single" w:sz="8" w:space="0" w:color="000000"/>
              <w:right w:val="single" w:sz="8" w:space="0" w:color="000000"/>
            </w:tcBorders>
            <w:tcMar>
              <w:top w:w="100" w:type="dxa"/>
              <w:left w:w="100" w:type="dxa"/>
              <w:bottom w:w="100" w:type="dxa"/>
              <w:right w:w="100" w:type="dxa"/>
            </w:tcMar>
          </w:tcPr>
          <w:p w14:paraId="1606ED50" w14:textId="77777777" w:rsidR="00C5778C" w:rsidRPr="00CC654B" w:rsidRDefault="00C5778C" w:rsidP="00130F36">
            <w:pPr>
              <w:spacing w:after="0"/>
              <w:jc w:val="left"/>
              <w:rPr>
                <w:sz w:val="24"/>
                <w:szCs w:val="24"/>
              </w:rPr>
            </w:pPr>
            <w:r w:rsidRPr="00CC654B">
              <w:rPr>
                <w:color w:val="000000"/>
                <w:sz w:val="24"/>
                <w:szCs w:val="24"/>
              </w:rPr>
              <w:t>108(44%)</w:t>
            </w:r>
          </w:p>
        </w:tc>
        <w:tc>
          <w:tcPr>
            <w:tcW w:w="1697"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AD587" w14:textId="77777777" w:rsidR="00C5778C" w:rsidRPr="00CC654B" w:rsidRDefault="00C5778C" w:rsidP="00130F36">
            <w:pPr>
              <w:spacing w:after="0"/>
              <w:jc w:val="left"/>
              <w:rPr>
                <w:sz w:val="24"/>
                <w:szCs w:val="24"/>
              </w:rPr>
            </w:pPr>
            <w:r w:rsidRPr="00CC654B">
              <w:rPr>
                <w:color w:val="000000"/>
                <w:sz w:val="24"/>
                <w:szCs w:val="24"/>
              </w:rPr>
              <w:t>169(68%)</w:t>
            </w:r>
          </w:p>
        </w:tc>
        <w:tc>
          <w:tcPr>
            <w:tcW w:w="1697" w:type="dxa"/>
            <w:tcBorders>
              <w:top w:val="single" w:sz="12" w:space="0" w:color="000000"/>
              <w:left w:val="single" w:sz="8" w:space="0" w:color="000000"/>
              <w:bottom w:val="single" w:sz="8" w:space="0" w:color="000000"/>
              <w:right w:val="single" w:sz="12" w:space="0" w:color="000000"/>
            </w:tcBorders>
            <w:tcMar>
              <w:top w:w="100" w:type="dxa"/>
              <w:left w:w="100" w:type="dxa"/>
              <w:bottom w:w="100" w:type="dxa"/>
              <w:right w:w="100" w:type="dxa"/>
            </w:tcMar>
          </w:tcPr>
          <w:p w14:paraId="5A6E701C" w14:textId="77777777" w:rsidR="00C5778C" w:rsidRPr="00CC654B" w:rsidRDefault="00C5778C" w:rsidP="00130F36">
            <w:pPr>
              <w:spacing w:after="0"/>
              <w:jc w:val="left"/>
              <w:rPr>
                <w:sz w:val="24"/>
                <w:szCs w:val="24"/>
              </w:rPr>
            </w:pPr>
            <w:r w:rsidRPr="00CC654B">
              <w:rPr>
                <w:color w:val="000000"/>
                <w:sz w:val="24"/>
                <w:szCs w:val="24"/>
              </w:rPr>
              <w:t>479(83%)</w:t>
            </w:r>
          </w:p>
        </w:tc>
      </w:tr>
      <w:tr w:rsidR="00C5778C" w:rsidRPr="00CC654B" w14:paraId="11905F6D" w14:textId="77777777" w:rsidTr="00130F36">
        <w:trPr>
          <w:trHeight w:val="191"/>
        </w:trPr>
        <w:tc>
          <w:tcPr>
            <w:tcW w:w="1797" w:type="dxa"/>
            <w:tcBorders>
              <w:top w:val="single" w:sz="8" w:space="0" w:color="000000"/>
              <w:left w:val="single" w:sz="18" w:space="0" w:color="000000"/>
              <w:bottom w:val="single" w:sz="12" w:space="0" w:color="000000"/>
              <w:right w:val="single" w:sz="12" w:space="0" w:color="000000"/>
            </w:tcBorders>
            <w:tcMar>
              <w:top w:w="100" w:type="dxa"/>
              <w:left w:w="100" w:type="dxa"/>
              <w:bottom w:w="100" w:type="dxa"/>
              <w:right w:w="100" w:type="dxa"/>
            </w:tcMar>
          </w:tcPr>
          <w:p w14:paraId="16071BBE" w14:textId="77777777" w:rsidR="00C5778C" w:rsidRPr="00CC654B" w:rsidRDefault="00C5778C" w:rsidP="00130F36">
            <w:pPr>
              <w:spacing w:after="0"/>
              <w:jc w:val="left"/>
              <w:rPr>
                <w:sz w:val="24"/>
                <w:szCs w:val="24"/>
              </w:rPr>
            </w:pPr>
            <w:r w:rsidRPr="00CC654B">
              <w:rPr>
                <w:color w:val="000000"/>
                <w:sz w:val="24"/>
                <w:szCs w:val="24"/>
              </w:rPr>
              <w:t>Negative</w:t>
            </w:r>
          </w:p>
        </w:tc>
        <w:tc>
          <w:tcPr>
            <w:tcW w:w="1603" w:type="dxa"/>
            <w:tcBorders>
              <w:top w:val="single" w:sz="8" w:space="0" w:color="000000"/>
              <w:left w:val="single" w:sz="12" w:space="0" w:color="000000"/>
              <w:bottom w:val="single" w:sz="12" w:space="0" w:color="000000"/>
              <w:right w:val="single" w:sz="8" w:space="0" w:color="000000"/>
            </w:tcBorders>
            <w:tcMar>
              <w:top w:w="100" w:type="dxa"/>
              <w:left w:w="100" w:type="dxa"/>
              <w:bottom w:w="100" w:type="dxa"/>
              <w:right w:w="100" w:type="dxa"/>
            </w:tcMar>
          </w:tcPr>
          <w:p w14:paraId="29BFF967" w14:textId="77777777" w:rsidR="00C5778C" w:rsidRPr="00CC654B" w:rsidRDefault="00C5778C" w:rsidP="00130F36">
            <w:pPr>
              <w:spacing w:after="0"/>
              <w:jc w:val="left"/>
              <w:rPr>
                <w:sz w:val="24"/>
                <w:szCs w:val="24"/>
              </w:rPr>
            </w:pPr>
            <w:r w:rsidRPr="00CC654B">
              <w:rPr>
                <w:color w:val="000000"/>
                <w:sz w:val="24"/>
                <w:szCs w:val="24"/>
              </w:rPr>
              <w:t>140(56%)</w:t>
            </w:r>
          </w:p>
        </w:tc>
        <w:tc>
          <w:tcPr>
            <w:tcW w:w="1697" w:type="dxa"/>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tcPr>
          <w:p w14:paraId="44CFB2CB" w14:textId="77777777" w:rsidR="00C5778C" w:rsidRPr="00CC654B" w:rsidRDefault="00C5778C" w:rsidP="00130F36">
            <w:pPr>
              <w:spacing w:after="0"/>
              <w:jc w:val="left"/>
              <w:rPr>
                <w:sz w:val="24"/>
                <w:szCs w:val="24"/>
              </w:rPr>
            </w:pPr>
            <w:r w:rsidRPr="00CC654B">
              <w:rPr>
                <w:color w:val="000000"/>
                <w:sz w:val="24"/>
                <w:szCs w:val="24"/>
              </w:rPr>
              <w:t>78(32%)</w:t>
            </w:r>
          </w:p>
        </w:tc>
        <w:tc>
          <w:tcPr>
            <w:tcW w:w="1697" w:type="dxa"/>
            <w:tcBorders>
              <w:top w:val="single" w:sz="8" w:space="0" w:color="000000"/>
              <w:left w:val="single" w:sz="8" w:space="0" w:color="000000"/>
              <w:bottom w:val="single" w:sz="12" w:space="0" w:color="000000"/>
              <w:right w:val="single" w:sz="12" w:space="0" w:color="000000"/>
            </w:tcBorders>
            <w:tcMar>
              <w:top w:w="100" w:type="dxa"/>
              <w:left w:w="100" w:type="dxa"/>
              <w:bottom w:w="100" w:type="dxa"/>
              <w:right w:w="100" w:type="dxa"/>
            </w:tcMar>
          </w:tcPr>
          <w:p w14:paraId="6F0AEF6F" w14:textId="77777777" w:rsidR="00C5778C" w:rsidRPr="00CC654B" w:rsidRDefault="00C5778C" w:rsidP="00130F36">
            <w:pPr>
              <w:spacing w:after="0"/>
              <w:jc w:val="left"/>
              <w:rPr>
                <w:sz w:val="24"/>
                <w:szCs w:val="24"/>
              </w:rPr>
            </w:pPr>
            <w:r w:rsidRPr="00CC654B">
              <w:rPr>
                <w:color w:val="000000"/>
                <w:sz w:val="24"/>
                <w:szCs w:val="24"/>
              </w:rPr>
              <w:t>100(17%)</w:t>
            </w:r>
          </w:p>
        </w:tc>
      </w:tr>
    </w:tbl>
    <w:p w14:paraId="6AA993DD" w14:textId="77777777" w:rsidR="00C5778C" w:rsidRPr="00CC654B" w:rsidRDefault="00C5778C" w:rsidP="00C5778C">
      <w:pPr>
        <w:spacing w:before="240" w:after="240"/>
        <w:jc w:val="left"/>
        <w:rPr>
          <w:sz w:val="24"/>
          <w:szCs w:val="24"/>
        </w:rPr>
      </w:pPr>
      <w:r w:rsidRPr="00CC654B">
        <w:rPr>
          <w:color w:val="000000"/>
          <w:sz w:val="24"/>
          <w:szCs w:val="24"/>
        </w:rPr>
        <w:t>The increase in the number of PCs and the decrease in the number of NCs as well as the changes in the ratio between positive and negative reflections in each cycle suggest a significant change in the level of confidence with time.  An examination of the selected LDDEs at cycle III supports this position.</w:t>
      </w:r>
    </w:p>
    <w:p w14:paraId="069A7921" w14:textId="77777777" w:rsidR="00C5778C" w:rsidRDefault="00C5778C" w:rsidP="00C5778C">
      <w:pPr>
        <w:spacing w:before="240" w:after="240"/>
        <w:jc w:val="left"/>
        <w:rPr>
          <w:i/>
          <w:iCs/>
          <w:color w:val="000000"/>
          <w:sz w:val="24"/>
          <w:szCs w:val="24"/>
        </w:rPr>
      </w:pPr>
      <w:r>
        <w:rPr>
          <w:i/>
          <w:iCs/>
          <w:color w:val="000000"/>
          <w:sz w:val="24"/>
          <w:szCs w:val="24"/>
        </w:rPr>
        <w:t xml:space="preserve">Introduce these </w:t>
      </w:r>
      <w:proofErr w:type="spellStart"/>
      <w:r>
        <w:rPr>
          <w:i/>
          <w:iCs/>
          <w:color w:val="000000"/>
          <w:sz w:val="24"/>
          <w:szCs w:val="24"/>
        </w:rPr>
        <w:t>quites</w:t>
      </w:r>
      <w:proofErr w:type="spellEnd"/>
      <w:r>
        <w:rPr>
          <w:i/>
          <w:iCs/>
          <w:color w:val="000000"/>
          <w:sz w:val="24"/>
          <w:szCs w:val="24"/>
        </w:rPr>
        <w:t xml:space="preserve">. Where are they from? What are they about? </w:t>
      </w:r>
    </w:p>
    <w:p w14:paraId="6F25936B" w14:textId="77777777" w:rsidR="00C5778C" w:rsidRPr="00CC654B" w:rsidRDefault="00C5778C" w:rsidP="00C5778C">
      <w:pPr>
        <w:spacing w:before="240" w:after="240"/>
        <w:jc w:val="left"/>
        <w:rPr>
          <w:i/>
          <w:iCs/>
          <w:sz w:val="24"/>
          <w:szCs w:val="24"/>
        </w:rPr>
      </w:pPr>
      <w:r w:rsidRPr="00CC654B">
        <w:rPr>
          <w:i/>
          <w:iCs/>
          <w:color w:val="000000"/>
          <w:sz w:val="24"/>
          <w:szCs w:val="24"/>
        </w:rPr>
        <w:t>L13:</w:t>
      </w:r>
      <w:r>
        <w:rPr>
          <w:i/>
          <w:iCs/>
          <w:color w:val="000000"/>
          <w:sz w:val="24"/>
          <w:szCs w:val="24"/>
        </w:rPr>
        <w:t xml:space="preserve"> I feel</w:t>
      </w:r>
      <w:r w:rsidRPr="00CC654B">
        <w:rPr>
          <w:i/>
          <w:iCs/>
          <w:color w:val="000000"/>
          <w:sz w:val="24"/>
          <w:szCs w:val="24"/>
        </w:rPr>
        <w:t xml:space="preserve"> I have improved. I know how to find words connected to the topic and how to organize the speech. I am happy.</w:t>
      </w:r>
    </w:p>
    <w:p w14:paraId="0F956510" w14:textId="77777777" w:rsidR="00C5778C" w:rsidRPr="00CC654B" w:rsidRDefault="00C5778C" w:rsidP="00C5778C">
      <w:pPr>
        <w:spacing w:before="240" w:after="240"/>
        <w:jc w:val="left"/>
        <w:rPr>
          <w:i/>
          <w:iCs/>
          <w:sz w:val="24"/>
          <w:szCs w:val="24"/>
        </w:rPr>
      </w:pPr>
      <w:r w:rsidRPr="00CC654B">
        <w:rPr>
          <w:i/>
          <w:iCs/>
          <w:color w:val="000000"/>
          <w:sz w:val="24"/>
          <w:szCs w:val="24"/>
        </w:rPr>
        <w:t xml:space="preserve">L1:  I am happy </w:t>
      </w:r>
      <w:r>
        <w:rPr>
          <w:i/>
          <w:iCs/>
          <w:color w:val="000000"/>
          <w:sz w:val="24"/>
          <w:szCs w:val="24"/>
        </w:rPr>
        <w:t xml:space="preserve">that </w:t>
      </w:r>
      <w:r w:rsidRPr="00CC654B">
        <w:rPr>
          <w:i/>
          <w:iCs/>
          <w:color w:val="000000"/>
          <w:sz w:val="24"/>
          <w:szCs w:val="24"/>
        </w:rPr>
        <w:t>everybody listened to my speech</w:t>
      </w:r>
      <w:r>
        <w:rPr>
          <w:i/>
          <w:iCs/>
          <w:color w:val="000000"/>
          <w:sz w:val="24"/>
          <w:szCs w:val="24"/>
        </w:rPr>
        <w:t xml:space="preserve">. </w:t>
      </w:r>
      <w:r w:rsidRPr="00CC654B">
        <w:rPr>
          <w:i/>
          <w:iCs/>
          <w:color w:val="000000"/>
          <w:sz w:val="24"/>
          <w:szCs w:val="24"/>
        </w:rPr>
        <w:t xml:space="preserve">I felt great about it. I </w:t>
      </w:r>
      <w:r>
        <w:rPr>
          <w:i/>
          <w:iCs/>
          <w:color w:val="000000"/>
          <w:sz w:val="24"/>
          <w:szCs w:val="24"/>
        </w:rPr>
        <w:t xml:space="preserve">had a good beginning and an ending. </w:t>
      </w:r>
    </w:p>
    <w:p w14:paraId="7152CD95" w14:textId="77777777" w:rsidR="00C5778C" w:rsidRPr="00CC654B" w:rsidRDefault="00C5778C" w:rsidP="00C5778C">
      <w:pPr>
        <w:spacing w:before="240" w:after="240"/>
        <w:jc w:val="left"/>
        <w:rPr>
          <w:i/>
          <w:iCs/>
          <w:sz w:val="24"/>
          <w:szCs w:val="24"/>
        </w:rPr>
      </w:pPr>
      <w:r w:rsidRPr="00CC654B">
        <w:rPr>
          <w:i/>
          <w:iCs/>
          <w:color w:val="000000"/>
          <w:sz w:val="24"/>
          <w:szCs w:val="24"/>
        </w:rPr>
        <w:t xml:space="preserve">L14: If I am to become a good speaker there are so many points to improve. </w:t>
      </w:r>
      <w:r>
        <w:rPr>
          <w:i/>
          <w:iCs/>
          <w:color w:val="000000"/>
          <w:sz w:val="24"/>
          <w:szCs w:val="24"/>
        </w:rPr>
        <w:t xml:space="preserve">Now I know how to </w:t>
      </w:r>
      <w:r w:rsidRPr="00CC654B">
        <w:rPr>
          <w:i/>
          <w:iCs/>
          <w:color w:val="000000"/>
          <w:sz w:val="24"/>
          <w:szCs w:val="24"/>
        </w:rPr>
        <w:t>speak in front of the class. I feel confident now</w:t>
      </w:r>
      <w:r>
        <w:rPr>
          <w:i/>
          <w:iCs/>
          <w:color w:val="000000"/>
          <w:sz w:val="24"/>
          <w:szCs w:val="24"/>
        </w:rPr>
        <w:t xml:space="preserve">. </w:t>
      </w:r>
    </w:p>
    <w:p w14:paraId="10A5C4DE" w14:textId="77777777" w:rsidR="00C5778C" w:rsidRDefault="00C5778C" w:rsidP="00C5778C">
      <w:pPr>
        <w:spacing w:before="240" w:after="240"/>
        <w:jc w:val="left"/>
        <w:rPr>
          <w:color w:val="000000"/>
          <w:sz w:val="24"/>
          <w:szCs w:val="24"/>
        </w:rPr>
      </w:pPr>
      <w:r w:rsidRPr="00CC654B">
        <w:rPr>
          <w:color w:val="000000"/>
          <w:sz w:val="24"/>
          <w:szCs w:val="24"/>
        </w:rPr>
        <w:t xml:space="preserve">Familiarity with the techniques of IS, awareness of </w:t>
      </w:r>
      <w:r>
        <w:rPr>
          <w:color w:val="000000"/>
          <w:sz w:val="24"/>
          <w:szCs w:val="24"/>
        </w:rPr>
        <w:t>how they improved</w:t>
      </w:r>
      <w:r w:rsidRPr="00CC654B">
        <w:rPr>
          <w:color w:val="000000"/>
          <w:sz w:val="24"/>
          <w:szCs w:val="24"/>
        </w:rPr>
        <w:t xml:space="preserve"> and feelings of satisfaction have promoted learner confidence and create an increased desire to speak in English.</w:t>
      </w:r>
    </w:p>
    <w:p w14:paraId="427E3651" w14:textId="77777777" w:rsidR="00C5778C" w:rsidRPr="00CC654B" w:rsidRDefault="00C5778C" w:rsidP="00C5778C">
      <w:pPr>
        <w:spacing w:before="240" w:after="240"/>
        <w:jc w:val="left"/>
        <w:rPr>
          <w:sz w:val="24"/>
          <w:szCs w:val="24"/>
        </w:rPr>
      </w:pPr>
    </w:p>
    <w:p w14:paraId="7EF687B4" w14:textId="77777777" w:rsidR="00C5778C" w:rsidRPr="00CC654B" w:rsidRDefault="00C5778C" w:rsidP="00C5778C">
      <w:pPr>
        <w:spacing w:before="240" w:after="240"/>
        <w:jc w:val="left"/>
        <w:rPr>
          <w:b/>
          <w:bCs/>
          <w:sz w:val="24"/>
          <w:szCs w:val="24"/>
        </w:rPr>
      </w:pPr>
      <w:r w:rsidRPr="00CC654B">
        <w:rPr>
          <w:b/>
          <w:bCs/>
          <w:color w:val="000000"/>
          <w:sz w:val="24"/>
          <w:szCs w:val="24"/>
        </w:rPr>
        <w:t>Conclusion and Recommendations</w:t>
      </w:r>
    </w:p>
    <w:p w14:paraId="52C11321" w14:textId="77777777" w:rsidR="00C5778C" w:rsidRPr="00CC654B" w:rsidRDefault="00C5778C" w:rsidP="00C5778C">
      <w:pPr>
        <w:spacing w:before="240" w:after="240"/>
        <w:jc w:val="left"/>
        <w:rPr>
          <w:sz w:val="24"/>
          <w:szCs w:val="24"/>
        </w:rPr>
      </w:pPr>
      <w:r w:rsidRPr="00CC654B">
        <w:rPr>
          <w:color w:val="000000"/>
          <w:sz w:val="24"/>
          <w:szCs w:val="24"/>
        </w:rPr>
        <w:t xml:space="preserve">This study shows that when </w:t>
      </w:r>
      <w:r>
        <w:rPr>
          <w:color w:val="000000"/>
          <w:sz w:val="24"/>
          <w:szCs w:val="24"/>
        </w:rPr>
        <w:t xml:space="preserve">intermediate-level </w:t>
      </w:r>
      <w:r w:rsidRPr="00CC654B">
        <w:rPr>
          <w:color w:val="000000"/>
          <w:sz w:val="24"/>
          <w:szCs w:val="24"/>
        </w:rPr>
        <w:t xml:space="preserve">adolescent learners </w:t>
      </w:r>
      <w:r>
        <w:rPr>
          <w:color w:val="000000"/>
          <w:sz w:val="24"/>
          <w:szCs w:val="24"/>
        </w:rPr>
        <w:t xml:space="preserve">in an English speaking environment integrate IS </w:t>
      </w:r>
      <w:r w:rsidRPr="00CC654B">
        <w:rPr>
          <w:color w:val="000000"/>
          <w:sz w:val="24"/>
          <w:szCs w:val="24"/>
        </w:rPr>
        <w:t xml:space="preserve">techniques they gradually become competent </w:t>
      </w:r>
      <w:r>
        <w:rPr>
          <w:color w:val="000000"/>
          <w:sz w:val="24"/>
          <w:szCs w:val="24"/>
        </w:rPr>
        <w:t xml:space="preserve">public speakers. </w:t>
      </w:r>
      <w:r w:rsidRPr="00CC654B">
        <w:rPr>
          <w:color w:val="000000"/>
          <w:sz w:val="24"/>
          <w:szCs w:val="24"/>
        </w:rPr>
        <w:t xml:space="preserve">It has also demonstrated that IS </w:t>
      </w:r>
      <w:proofErr w:type="spellStart"/>
      <w:r w:rsidRPr="00CC654B">
        <w:rPr>
          <w:color w:val="000000"/>
          <w:sz w:val="24"/>
          <w:szCs w:val="24"/>
        </w:rPr>
        <w:t>is</w:t>
      </w:r>
      <w:proofErr w:type="spellEnd"/>
      <w:r w:rsidRPr="00CC654B">
        <w:rPr>
          <w:color w:val="000000"/>
          <w:sz w:val="24"/>
          <w:szCs w:val="24"/>
        </w:rPr>
        <w:t xml:space="preserve"> an enjoyable and novel strategy that can motivate adolescent learners who are anxious, reluctant and tongue tied, to speak before a small audience. Furthermore, </w:t>
      </w:r>
      <w:r>
        <w:rPr>
          <w:color w:val="000000"/>
          <w:sz w:val="24"/>
          <w:szCs w:val="24"/>
        </w:rPr>
        <w:t xml:space="preserve">the process of learning IS sills made the </w:t>
      </w:r>
      <w:r w:rsidRPr="00CC654B">
        <w:rPr>
          <w:color w:val="000000"/>
          <w:sz w:val="24"/>
          <w:szCs w:val="24"/>
        </w:rPr>
        <w:t xml:space="preserve">learners more self- critical and </w:t>
      </w:r>
      <w:proofErr w:type="spellStart"/>
      <w:r>
        <w:rPr>
          <w:color w:val="000000"/>
          <w:sz w:val="24"/>
          <w:szCs w:val="24"/>
        </w:rPr>
        <w:t xml:space="preserve">self </w:t>
      </w:r>
      <w:r w:rsidRPr="00CC654B">
        <w:rPr>
          <w:color w:val="000000"/>
          <w:sz w:val="24"/>
          <w:szCs w:val="24"/>
        </w:rPr>
        <w:t>reflect</w:t>
      </w:r>
      <w:r>
        <w:rPr>
          <w:color w:val="000000"/>
          <w:sz w:val="24"/>
          <w:szCs w:val="24"/>
        </w:rPr>
        <w:t>ive</w:t>
      </w:r>
      <w:proofErr w:type="spellEnd"/>
      <w:r w:rsidRPr="00CC654B">
        <w:rPr>
          <w:color w:val="000000"/>
          <w:sz w:val="24"/>
          <w:szCs w:val="24"/>
        </w:rPr>
        <w:t>.</w:t>
      </w:r>
    </w:p>
    <w:p w14:paraId="5407B3E0" w14:textId="6454171E" w:rsidR="00C5778C" w:rsidRDefault="00C5778C" w:rsidP="00C5778C">
      <w:pPr>
        <w:spacing w:before="240" w:after="240"/>
        <w:jc w:val="left"/>
        <w:rPr>
          <w:color w:val="000000"/>
          <w:sz w:val="24"/>
          <w:szCs w:val="24"/>
        </w:rPr>
      </w:pPr>
      <w:r w:rsidRPr="00CC654B">
        <w:rPr>
          <w:color w:val="000000"/>
          <w:sz w:val="24"/>
          <w:szCs w:val="24"/>
        </w:rPr>
        <w:t xml:space="preserve">IS can be used with adolescents to improve confidence in speaking. However, strategies such as IS demand substantial and sustained teacher preparation and, paying individual attention to students in large classes is </w:t>
      </w:r>
      <w:proofErr w:type="spellStart"/>
      <w:r w:rsidRPr="00CC654B">
        <w:rPr>
          <w:color w:val="000000"/>
          <w:sz w:val="24"/>
          <w:szCs w:val="24"/>
        </w:rPr>
        <w:t>difficult.Learners</w:t>
      </w:r>
      <w:proofErr w:type="spellEnd"/>
      <w:r w:rsidRPr="00CC654B">
        <w:rPr>
          <w:color w:val="000000"/>
          <w:sz w:val="24"/>
          <w:szCs w:val="24"/>
        </w:rPr>
        <w:t xml:space="preserve"> liked the </w:t>
      </w:r>
      <w:r>
        <w:rPr>
          <w:color w:val="000000"/>
          <w:sz w:val="24"/>
          <w:szCs w:val="24"/>
        </w:rPr>
        <w:t xml:space="preserve">relaxed </w:t>
      </w:r>
      <w:r w:rsidRPr="00CC654B">
        <w:rPr>
          <w:color w:val="000000"/>
          <w:sz w:val="24"/>
          <w:szCs w:val="24"/>
        </w:rPr>
        <w:t xml:space="preserve">atmosphere in the class as it reduced </w:t>
      </w:r>
      <w:r>
        <w:rPr>
          <w:color w:val="000000"/>
          <w:sz w:val="24"/>
          <w:szCs w:val="24"/>
        </w:rPr>
        <w:t xml:space="preserve">student </w:t>
      </w:r>
      <w:r w:rsidRPr="00CC654B">
        <w:rPr>
          <w:color w:val="000000"/>
          <w:sz w:val="24"/>
          <w:szCs w:val="24"/>
        </w:rPr>
        <w:t xml:space="preserve">anxiety and facilitated learning. </w:t>
      </w:r>
      <w:r>
        <w:rPr>
          <w:color w:val="000000"/>
          <w:sz w:val="24"/>
          <w:szCs w:val="24"/>
        </w:rPr>
        <w:t>It</w:t>
      </w:r>
      <w:r w:rsidRPr="00CC654B">
        <w:rPr>
          <w:color w:val="000000"/>
          <w:sz w:val="24"/>
          <w:szCs w:val="24"/>
        </w:rPr>
        <w:t xml:space="preserve"> is recommended that teachers create a tolerant, informal and friendly environment which enables adolescent learners to feel free to express themselves.</w:t>
      </w:r>
    </w:p>
    <w:p w14:paraId="0907C0A1" w14:textId="77777777" w:rsidR="00C5778C" w:rsidRPr="00CC654B" w:rsidRDefault="00C5778C" w:rsidP="00C5778C">
      <w:pPr>
        <w:spacing w:before="240" w:after="240"/>
        <w:jc w:val="left"/>
        <w:rPr>
          <w:color w:val="000000"/>
          <w:sz w:val="24"/>
          <w:szCs w:val="24"/>
        </w:rPr>
      </w:pPr>
    </w:p>
    <w:p w14:paraId="468C7EE0" w14:textId="77777777" w:rsidR="00C5778C" w:rsidRPr="00CC654B" w:rsidRDefault="00C5778C" w:rsidP="00C5778C">
      <w:pPr>
        <w:pStyle w:val="Normal2"/>
        <w:ind w:left="720" w:hanging="720"/>
        <w:jc w:val="left"/>
        <w:rPr>
          <w:b/>
          <w:color w:val="000000"/>
          <w:sz w:val="24"/>
          <w:szCs w:val="24"/>
        </w:rPr>
      </w:pPr>
      <w:r w:rsidRPr="00CC654B">
        <w:rPr>
          <w:b/>
          <w:color w:val="000000"/>
          <w:sz w:val="24"/>
          <w:szCs w:val="24"/>
        </w:rPr>
        <w:t>References</w:t>
      </w:r>
    </w:p>
    <w:p w14:paraId="16EC43CD" w14:textId="77777777" w:rsidR="00C5778C" w:rsidRPr="00CC654B" w:rsidRDefault="00C5778C" w:rsidP="00C5778C">
      <w:pPr>
        <w:pStyle w:val="Normal2"/>
        <w:ind w:left="720" w:hanging="720"/>
        <w:jc w:val="left"/>
        <w:rPr>
          <w:color w:val="000000"/>
          <w:sz w:val="24"/>
          <w:szCs w:val="24"/>
        </w:rPr>
      </w:pPr>
      <w:proofErr w:type="spellStart"/>
      <w:r w:rsidRPr="00CC654B">
        <w:rPr>
          <w:color w:val="000000"/>
          <w:sz w:val="24"/>
          <w:szCs w:val="24"/>
        </w:rPr>
        <w:t>Ajeng</w:t>
      </w:r>
      <w:proofErr w:type="spellEnd"/>
      <w:r w:rsidRPr="00CC654B">
        <w:rPr>
          <w:color w:val="000000"/>
          <w:sz w:val="24"/>
          <w:szCs w:val="24"/>
        </w:rPr>
        <w:t xml:space="preserve">, G. D. (2016).The Possible Causes of Indonesian EFL Students’ Anxiety in Speaking Impromptu </w:t>
      </w:r>
      <w:proofErr w:type="spellStart"/>
      <w:r w:rsidRPr="00CC654B">
        <w:rPr>
          <w:color w:val="000000"/>
          <w:sz w:val="24"/>
          <w:szCs w:val="24"/>
        </w:rPr>
        <w:t>Speech.</w:t>
      </w:r>
      <w:r w:rsidRPr="00CC654B">
        <w:rPr>
          <w:i/>
          <w:iCs/>
          <w:color w:val="000000"/>
          <w:sz w:val="24"/>
          <w:szCs w:val="24"/>
        </w:rPr>
        <w:t>The</w:t>
      </w:r>
      <w:proofErr w:type="spellEnd"/>
      <w:r w:rsidRPr="00CC654B">
        <w:rPr>
          <w:i/>
          <w:iCs/>
          <w:color w:val="000000"/>
          <w:sz w:val="24"/>
          <w:szCs w:val="24"/>
        </w:rPr>
        <w:t xml:space="preserve"> Fourth International Conference on Education and Language </w:t>
      </w:r>
      <w:r w:rsidRPr="00CC654B">
        <w:rPr>
          <w:color w:val="000000"/>
          <w:sz w:val="24"/>
          <w:szCs w:val="24"/>
        </w:rPr>
        <w:lastRenderedPageBreak/>
        <w:t>(4th ICEL) 2016. ISSN 2303-1417.Universitas Bandar Lampung (UBL), Indonesia, II-216.</w:t>
      </w:r>
    </w:p>
    <w:p w14:paraId="00F1BC95" w14:textId="77777777" w:rsidR="00C5778C" w:rsidRPr="00CC654B" w:rsidRDefault="00C5778C" w:rsidP="00C5778C">
      <w:pPr>
        <w:pStyle w:val="Normal2"/>
        <w:ind w:left="720" w:hanging="720"/>
        <w:jc w:val="left"/>
        <w:rPr>
          <w:color w:val="000000"/>
          <w:sz w:val="24"/>
          <w:szCs w:val="24"/>
        </w:rPr>
      </w:pPr>
      <w:proofErr w:type="spellStart"/>
      <w:r w:rsidRPr="00CC654B">
        <w:rPr>
          <w:sz w:val="24"/>
          <w:szCs w:val="24"/>
        </w:rPr>
        <w:t>Ebeta</w:t>
      </w:r>
      <w:proofErr w:type="spellEnd"/>
      <w:r w:rsidRPr="00CC654B">
        <w:rPr>
          <w:sz w:val="24"/>
          <w:szCs w:val="24"/>
        </w:rPr>
        <w:t xml:space="preserve">, M. (2008). Motivation Factors in Language Learning </w:t>
      </w:r>
      <w:r w:rsidRPr="00CC654B">
        <w:rPr>
          <w:i/>
          <w:iCs/>
          <w:sz w:val="24"/>
          <w:szCs w:val="24"/>
        </w:rPr>
        <w:t>The Internet TESL Journal</w:t>
      </w:r>
      <w:proofErr w:type="gramStart"/>
      <w:r w:rsidRPr="00CC654B">
        <w:rPr>
          <w:i/>
          <w:iCs/>
          <w:sz w:val="24"/>
          <w:szCs w:val="24"/>
        </w:rPr>
        <w:t xml:space="preserve">,  </w:t>
      </w:r>
      <w:r w:rsidRPr="00CC654B">
        <w:rPr>
          <w:sz w:val="24"/>
          <w:szCs w:val="24"/>
        </w:rPr>
        <w:t>XIV</w:t>
      </w:r>
      <w:proofErr w:type="gramEnd"/>
      <w:r w:rsidRPr="00CC654B">
        <w:rPr>
          <w:sz w:val="24"/>
          <w:szCs w:val="24"/>
        </w:rPr>
        <w:t>(4) April 2008</w:t>
      </w:r>
      <w:r w:rsidRPr="00CC654B">
        <w:rPr>
          <w:i/>
          <w:iCs/>
          <w:sz w:val="24"/>
          <w:szCs w:val="24"/>
        </w:rPr>
        <w:t>.</w:t>
      </w:r>
      <w:r w:rsidRPr="00CC654B">
        <w:rPr>
          <w:sz w:val="24"/>
          <w:szCs w:val="24"/>
        </w:rPr>
        <w:t>Experiential Learning: Creating Deep Learning Opportunities.</w:t>
      </w:r>
    </w:p>
    <w:p w14:paraId="54DC60F1" w14:textId="77777777" w:rsidR="00C5778C" w:rsidRPr="00CC654B" w:rsidRDefault="00C5778C" w:rsidP="00C5778C">
      <w:pPr>
        <w:pStyle w:val="Normal2"/>
        <w:ind w:left="720" w:hanging="720"/>
        <w:jc w:val="left"/>
        <w:rPr>
          <w:color w:val="000000"/>
          <w:sz w:val="24"/>
          <w:szCs w:val="24"/>
        </w:rPr>
      </w:pPr>
      <w:r w:rsidRPr="00CC654B">
        <w:rPr>
          <w:color w:val="000000"/>
          <w:sz w:val="24"/>
          <w:szCs w:val="24"/>
        </w:rPr>
        <w:t xml:space="preserve">Henderson, D. (1982). Impromptu Speaking as a Tool to Improve Non-native Speakers' Fluency in English. </w:t>
      </w:r>
      <w:proofErr w:type="spellStart"/>
      <w:r w:rsidRPr="00CC654B">
        <w:rPr>
          <w:i/>
          <w:iCs/>
          <w:color w:val="000000"/>
          <w:sz w:val="24"/>
          <w:szCs w:val="24"/>
        </w:rPr>
        <w:t>Jalt</w:t>
      </w:r>
      <w:proofErr w:type="spellEnd"/>
      <w:r w:rsidRPr="00CC654B">
        <w:rPr>
          <w:i/>
          <w:iCs/>
          <w:color w:val="000000"/>
          <w:sz w:val="24"/>
          <w:szCs w:val="24"/>
        </w:rPr>
        <w:t>, Volume 4</w:t>
      </w:r>
      <w:r w:rsidRPr="00CC654B">
        <w:rPr>
          <w:color w:val="000000"/>
          <w:sz w:val="24"/>
          <w:szCs w:val="24"/>
        </w:rPr>
        <w:t>, 75-88.</w:t>
      </w:r>
    </w:p>
    <w:p w14:paraId="257FDBF7" w14:textId="77777777" w:rsidR="00C5778C" w:rsidRPr="00CC654B" w:rsidRDefault="00C5778C" w:rsidP="00C5778C">
      <w:pPr>
        <w:pStyle w:val="Normal2"/>
        <w:ind w:left="720" w:hanging="720"/>
        <w:jc w:val="left"/>
        <w:rPr>
          <w:color w:val="000000"/>
          <w:sz w:val="24"/>
          <w:szCs w:val="24"/>
        </w:rPr>
      </w:pPr>
      <w:proofErr w:type="spellStart"/>
      <w:r w:rsidRPr="00CC654B">
        <w:rPr>
          <w:sz w:val="24"/>
          <w:szCs w:val="24"/>
        </w:rPr>
        <w:t>Trismianti</w:t>
      </w:r>
      <w:proofErr w:type="spellEnd"/>
      <w:r w:rsidRPr="00CC654B">
        <w:rPr>
          <w:sz w:val="24"/>
          <w:szCs w:val="24"/>
        </w:rPr>
        <w:t xml:space="preserve">, M. S. (2014). The Implementation of Impromptu Speech Method in Teaching Speaking Hortatory Exposition Text to the Eleventh Grades at </w:t>
      </w:r>
      <w:proofErr w:type="spellStart"/>
      <w:r w:rsidRPr="00CC654B">
        <w:rPr>
          <w:sz w:val="24"/>
          <w:szCs w:val="24"/>
        </w:rPr>
        <w:t>Saman</w:t>
      </w:r>
      <w:proofErr w:type="spellEnd"/>
      <w:r w:rsidRPr="00CC654B">
        <w:rPr>
          <w:sz w:val="24"/>
          <w:szCs w:val="24"/>
        </w:rPr>
        <w:t xml:space="preserve"> 1 </w:t>
      </w:r>
      <w:proofErr w:type="spellStart"/>
      <w:r w:rsidRPr="00CC654B">
        <w:rPr>
          <w:sz w:val="24"/>
          <w:szCs w:val="24"/>
        </w:rPr>
        <w:t>Krian</w:t>
      </w:r>
      <w:proofErr w:type="spellEnd"/>
      <w:r w:rsidRPr="00CC654B">
        <w:rPr>
          <w:sz w:val="24"/>
          <w:szCs w:val="24"/>
        </w:rPr>
        <w:t>.</w:t>
      </w:r>
      <w:r w:rsidRPr="00CC654B">
        <w:rPr>
          <w:i/>
          <w:iCs/>
          <w:sz w:val="24"/>
          <w:szCs w:val="24"/>
        </w:rPr>
        <w:t xml:space="preserve"> E Journal, </w:t>
      </w:r>
      <w:proofErr w:type="spellStart"/>
      <w:r w:rsidRPr="00CC654B">
        <w:rPr>
          <w:sz w:val="24"/>
          <w:szCs w:val="24"/>
        </w:rPr>
        <w:t>UNES</w:t>
      </w:r>
      <w:r w:rsidRPr="00CC654B">
        <w:rPr>
          <w:i/>
          <w:iCs/>
          <w:sz w:val="24"/>
          <w:szCs w:val="24"/>
        </w:rPr>
        <w:t>.</w:t>
      </w:r>
      <w:r w:rsidRPr="00CC654B">
        <w:rPr>
          <w:sz w:val="24"/>
          <w:szCs w:val="24"/>
        </w:rPr>
        <w:t>RetrievedJanuary</w:t>
      </w:r>
      <w:proofErr w:type="spellEnd"/>
      <w:r w:rsidRPr="00CC654B">
        <w:rPr>
          <w:sz w:val="24"/>
          <w:szCs w:val="24"/>
        </w:rPr>
        <w:t xml:space="preserve"> 30,2017.</w:t>
      </w:r>
    </w:p>
    <w:p w14:paraId="35264C93" w14:textId="77777777" w:rsidR="00C5778C" w:rsidRPr="00CC654B" w:rsidRDefault="00C5778C" w:rsidP="00C5778C">
      <w:pPr>
        <w:pStyle w:val="Normal2"/>
        <w:ind w:left="720" w:hanging="720"/>
        <w:jc w:val="left"/>
        <w:rPr>
          <w:color w:val="000000"/>
          <w:sz w:val="24"/>
          <w:szCs w:val="24"/>
        </w:rPr>
      </w:pPr>
      <w:r w:rsidRPr="00CC654B">
        <w:rPr>
          <w:color w:val="000000"/>
          <w:sz w:val="24"/>
          <w:szCs w:val="24"/>
        </w:rPr>
        <w:t xml:space="preserve">Vazquez, A. (2014). </w:t>
      </w:r>
      <w:r w:rsidRPr="00CC654B">
        <w:rPr>
          <w:i/>
          <w:iCs/>
          <w:color w:val="000000"/>
          <w:sz w:val="24"/>
          <w:szCs w:val="24"/>
        </w:rPr>
        <w:t>Building Academic Confidence in English Language Learners in Elementary School.</w:t>
      </w:r>
      <w:r w:rsidRPr="00CC654B">
        <w:rPr>
          <w:color w:val="000000"/>
          <w:sz w:val="24"/>
          <w:szCs w:val="24"/>
        </w:rPr>
        <w:t xml:space="preserve"> San Rafael, Ca, USA: Dominican University of California.</w:t>
      </w:r>
    </w:p>
    <w:p w14:paraId="7A0B9D33" w14:textId="77777777" w:rsidR="00C86415" w:rsidRDefault="00C86415"/>
    <w:sectPr w:rsidR="00C8641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128" w14:textId="77777777" w:rsidR="00CC6FED" w:rsidRDefault="00CC6FED" w:rsidP="00F53CD2">
      <w:pPr>
        <w:spacing w:after="0"/>
      </w:pPr>
      <w:r>
        <w:separator/>
      </w:r>
    </w:p>
  </w:endnote>
  <w:endnote w:type="continuationSeparator" w:id="0">
    <w:p w14:paraId="0B37F63E" w14:textId="77777777" w:rsidR="00CC6FED" w:rsidRDefault="00CC6FED" w:rsidP="00F53C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F662C" w14:textId="77777777" w:rsidR="00F53CD2" w:rsidRPr="00625954" w:rsidRDefault="00F53CD2" w:rsidP="00F53CD2">
    <w:pPr>
      <w:pStyle w:val="Footer"/>
      <w:pBdr>
        <w:top w:val="single" w:sz="4" w:space="1" w:color="auto"/>
      </w:pBdr>
      <w:tabs>
        <w:tab w:val="right" w:pos="8190"/>
      </w:tabs>
      <w:rPr>
        <w:sz w:val="14"/>
        <w:szCs w:val="14"/>
      </w:rPr>
    </w:pPr>
    <w:r w:rsidRPr="00625954">
      <w:rPr>
        <w:i/>
        <w:sz w:val="14"/>
        <w:szCs w:val="14"/>
      </w:rPr>
      <w:t xml:space="preserve">ISSN 2012-9912 </w:t>
    </w:r>
    <w:r w:rsidRPr="00625954">
      <w:rPr>
        <w:i/>
        <w:sz w:val="14"/>
        <w:szCs w:val="14"/>
        <w:lang w:eastAsia="zh-CN"/>
      </w:rPr>
      <w:t>© The Open University of Sri Lanka</w:t>
    </w:r>
    <w:r w:rsidRPr="00625954">
      <w:rPr>
        <w:sz w:val="14"/>
        <w:szCs w:val="14"/>
      </w:rPr>
      <w:t xml:space="preserve"> </w:t>
    </w:r>
    <w:r w:rsidRPr="00625954">
      <w:rPr>
        <w:sz w:val="14"/>
        <w:szCs w:val="14"/>
      </w:rPr>
      <w:tab/>
      <w:t xml:space="preserve">               </w:t>
    </w:r>
    <w:r>
      <w:rPr>
        <w:sz w:val="14"/>
        <w:szCs w:val="14"/>
      </w:rPr>
      <w:t xml:space="preserve">                          </w:t>
    </w:r>
    <w:r w:rsidRPr="00625954">
      <w:rPr>
        <w:sz w:val="14"/>
        <w:szCs w:val="14"/>
      </w:rPr>
      <w:t xml:space="preserve">                                                </w:t>
    </w:r>
    <w:r>
      <w:rPr>
        <w:sz w:val="14"/>
        <w:szCs w:val="14"/>
      </w:rPr>
      <w:t xml:space="preserve">                                                                        </w:t>
    </w:r>
    <w:r w:rsidRPr="00625954">
      <w:rPr>
        <w:sz w:val="14"/>
        <w:szCs w:val="14"/>
      </w:rPr>
      <w:t xml:space="preserve">      </w:t>
    </w:r>
    <w:r w:rsidRPr="00625954">
      <w:rPr>
        <w:sz w:val="14"/>
        <w:szCs w:val="14"/>
      </w:rPr>
      <w:fldChar w:fldCharType="begin"/>
    </w:r>
    <w:r w:rsidRPr="00625954">
      <w:rPr>
        <w:sz w:val="14"/>
        <w:szCs w:val="14"/>
      </w:rPr>
      <w:instrText xml:space="preserve"> PAGE   \* MERGEFORMAT </w:instrText>
    </w:r>
    <w:r w:rsidRPr="00625954">
      <w:rPr>
        <w:sz w:val="14"/>
        <w:szCs w:val="14"/>
      </w:rPr>
      <w:fldChar w:fldCharType="separate"/>
    </w:r>
    <w:r>
      <w:rPr>
        <w:noProof/>
        <w:sz w:val="14"/>
        <w:szCs w:val="14"/>
      </w:rPr>
      <w:t>5</w:t>
    </w:r>
    <w:r w:rsidRPr="00625954">
      <w:rPr>
        <w:sz w:val="14"/>
        <w:szCs w:val="14"/>
      </w:rPr>
      <w:fldChar w:fldCharType="end"/>
    </w:r>
  </w:p>
  <w:p w14:paraId="70AD3E2E" w14:textId="77777777" w:rsidR="00F53CD2" w:rsidRDefault="00F53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0AB58" w14:textId="77777777" w:rsidR="00CC6FED" w:rsidRDefault="00CC6FED" w:rsidP="00F53CD2">
      <w:pPr>
        <w:spacing w:after="0"/>
      </w:pPr>
      <w:r>
        <w:separator/>
      </w:r>
    </w:p>
  </w:footnote>
  <w:footnote w:type="continuationSeparator" w:id="0">
    <w:p w14:paraId="2580DB24" w14:textId="77777777" w:rsidR="00CC6FED" w:rsidRDefault="00CC6FED" w:rsidP="00F53C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1C6BB" w14:textId="3FBF99D3" w:rsidR="00F53CD2" w:rsidRPr="00F53CD2" w:rsidRDefault="00F53CD2" w:rsidP="00F53CD2">
    <w:pPr>
      <w:pStyle w:val="Header"/>
      <w:pBdr>
        <w:bottom w:val="single" w:sz="4" w:space="1" w:color="auto"/>
      </w:pBdr>
      <w:rPr>
        <w:i/>
        <w:sz w:val="14"/>
        <w:szCs w:val="14"/>
      </w:rPr>
    </w:pPr>
    <w:r w:rsidRPr="00625954">
      <w:rPr>
        <w:noProof/>
        <w:sz w:val="20"/>
        <w:szCs w:val="20"/>
        <w:lang w:eastAsia="en-GB" w:bidi="si-LK"/>
      </w:rPr>
      <w:drawing>
        <wp:anchor distT="0" distB="0" distL="114300" distR="114300" simplePos="0" relativeHeight="251659264" behindDoc="1" locked="0" layoutInCell="1" allowOverlap="1" wp14:anchorId="5E14D34B" wp14:editId="79EE48E8">
          <wp:simplePos x="0" y="0"/>
          <wp:positionH relativeFrom="column">
            <wp:posOffset>5687060</wp:posOffset>
          </wp:positionH>
          <wp:positionV relativeFrom="paragraph">
            <wp:posOffset>-271780</wp:posOffset>
          </wp:positionV>
          <wp:extent cx="276225" cy="4095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409575"/>
                  </a:xfrm>
                  <a:prstGeom prst="rect">
                    <a:avLst/>
                  </a:prstGeom>
                  <a:noFill/>
                </pic:spPr>
              </pic:pic>
            </a:graphicData>
          </a:graphic>
          <wp14:sizeRelH relativeFrom="page">
            <wp14:pctWidth>0</wp14:pctWidth>
          </wp14:sizeRelH>
          <wp14:sizeRelV relativeFrom="page">
            <wp14:pctHeight>0</wp14:pctHeight>
          </wp14:sizeRelV>
        </wp:anchor>
      </w:drawing>
    </w:r>
    <w:r w:rsidRPr="00625954">
      <w:rPr>
        <w:i/>
        <w:sz w:val="14"/>
        <w:szCs w:val="14"/>
      </w:rPr>
      <w:t>Proceeding of the Open University Research Sessions (OURS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2562"/>
    <w:multiLevelType w:val="hybridMultilevel"/>
    <w:tmpl w:val="C136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8C"/>
    <w:rsid w:val="00C5778C"/>
    <w:rsid w:val="00C86415"/>
    <w:rsid w:val="00CC6FED"/>
    <w:rsid w:val="00F53CD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A868"/>
  <w15:chartTrackingRefBased/>
  <w15:docId w15:val="{BE492131-D4D7-4FE4-A99E-89A760CE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78C"/>
    <w:pPr>
      <w:spacing w:after="200" w:line="240" w:lineRule="auto"/>
      <w:jc w:val="both"/>
    </w:pPr>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778C"/>
    <w:pPr>
      <w:spacing w:before="100" w:beforeAutospacing="1" w:after="100" w:afterAutospacing="1"/>
      <w:jc w:val="left"/>
    </w:pPr>
    <w:rPr>
      <w:sz w:val="24"/>
      <w:szCs w:val="24"/>
      <w:lang w:val="en-US"/>
    </w:rPr>
  </w:style>
  <w:style w:type="paragraph" w:customStyle="1" w:styleId="Normal2">
    <w:name w:val="Normal2"/>
    <w:uiPriority w:val="99"/>
    <w:rsid w:val="00C5778C"/>
    <w:pPr>
      <w:spacing w:after="200" w:line="240" w:lineRule="auto"/>
      <w:jc w:val="both"/>
    </w:pPr>
    <w:rPr>
      <w:rFonts w:ascii="Times New Roman" w:eastAsia="Times New Roman" w:hAnsi="Times New Roman" w:cs="Times New Roman"/>
      <w:lang w:val="en-GB"/>
    </w:rPr>
  </w:style>
  <w:style w:type="paragraph" w:styleId="Header">
    <w:name w:val="header"/>
    <w:basedOn w:val="Normal"/>
    <w:link w:val="HeaderChar"/>
    <w:uiPriority w:val="99"/>
    <w:unhideWhenUsed/>
    <w:rsid w:val="00F53CD2"/>
    <w:pPr>
      <w:tabs>
        <w:tab w:val="center" w:pos="4513"/>
        <w:tab w:val="right" w:pos="9026"/>
      </w:tabs>
      <w:spacing w:after="0"/>
    </w:pPr>
  </w:style>
  <w:style w:type="character" w:customStyle="1" w:styleId="HeaderChar">
    <w:name w:val="Header Char"/>
    <w:basedOn w:val="DefaultParagraphFont"/>
    <w:link w:val="Header"/>
    <w:uiPriority w:val="99"/>
    <w:rsid w:val="00F53CD2"/>
    <w:rPr>
      <w:rFonts w:ascii="Times New Roman" w:eastAsia="Times New Roman" w:hAnsi="Times New Roman" w:cs="Times New Roman"/>
      <w:lang w:val="en-GB"/>
    </w:rPr>
  </w:style>
  <w:style w:type="paragraph" w:styleId="Footer">
    <w:name w:val="footer"/>
    <w:basedOn w:val="Normal"/>
    <w:link w:val="FooterChar"/>
    <w:uiPriority w:val="99"/>
    <w:unhideWhenUsed/>
    <w:qFormat/>
    <w:rsid w:val="00F53CD2"/>
    <w:pPr>
      <w:tabs>
        <w:tab w:val="center" w:pos="4513"/>
        <w:tab w:val="right" w:pos="9026"/>
      </w:tabs>
      <w:spacing w:after="0"/>
    </w:pPr>
  </w:style>
  <w:style w:type="character" w:customStyle="1" w:styleId="FooterChar">
    <w:name w:val="Footer Char"/>
    <w:basedOn w:val="DefaultParagraphFont"/>
    <w:link w:val="Footer"/>
    <w:uiPriority w:val="99"/>
    <w:rsid w:val="00F53CD2"/>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Cycle I</c:v>
                </c:pt>
              </c:strCache>
            </c:strRef>
          </c:tx>
          <c:spPr>
            <a:pattFill prst="pct90">
              <a:fgClr>
                <a:sysClr val="windowText" lastClr="000000"/>
              </a:fgClr>
              <a:bgClr>
                <a:sysClr val="window" lastClr="FFFFFF"/>
              </a:bgClr>
            </a:patt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Experts</c:v>
                </c:pt>
                <c:pt idx="1">
                  <c:v>Selves</c:v>
                </c:pt>
              </c:strCache>
            </c:strRef>
          </c:cat>
          <c:val>
            <c:numRef>
              <c:f>Sheet1!$B$2:$B$3</c:f>
              <c:numCache>
                <c:formatCode>General</c:formatCode>
                <c:ptCount val="2"/>
                <c:pt idx="0">
                  <c:v>2.5499999999999998</c:v>
                </c:pt>
                <c:pt idx="1">
                  <c:v>2.8499999999999988</c:v>
                </c:pt>
              </c:numCache>
            </c:numRef>
          </c:val>
          <c:extLst xmlns:c16r2="http://schemas.microsoft.com/office/drawing/2015/06/chart">
            <c:ext xmlns:c16="http://schemas.microsoft.com/office/drawing/2014/chart" uri="{C3380CC4-5D6E-409C-BE32-E72D297353CC}">
              <c16:uniqueId val="{00000000-26C6-4246-B8FE-FF6F18048772}"/>
            </c:ext>
          </c:extLst>
        </c:ser>
        <c:ser>
          <c:idx val="1"/>
          <c:order val="1"/>
          <c:tx>
            <c:strRef>
              <c:f>Sheet1!$C$1</c:f>
              <c:strCache>
                <c:ptCount val="1"/>
                <c:pt idx="0">
                  <c:v>Cycle II</c:v>
                </c:pt>
              </c:strCache>
            </c:strRef>
          </c:tx>
          <c:spPr>
            <a:solidFill>
              <a:sysClr val="windowText" lastClr="000000">
                <a:lumMod val="50000"/>
                <a:lumOff val="50000"/>
              </a:sysClr>
            </a:solidFill>
          </c:spPr>
          <c:invertIfNegative val="0"/>
          <c:dPt>
            <c:idx val="0"/>
            <c:invertIfNegative val="1"/>
            <c:bubble3D val="0"/>
            <c:spPr>
              <a:solidFill>
                <a:srgbClr val="1F497D">
                  <a:lumMod val="60000"/>
                  <a:lumOff val="40000"/>
                </a:srgbClr>
              </a:solidFill>
            </c:spPr>
            <c:extLst xmlns:c16r2="http://schemas.microsoft.com/office/drawing/2015/06/chart">
              <c:ext xmlns:c16="http://schemas.microsoft.com/office/drawing/2014/chart" uri="{C3380CC4-5D6E-409C-BE32-E72D297353CC}">
                <c16:uniqueId val="{00000002-26C6-4246-B8FE-FF6F18048772}"/>
              </c:ext>
            </c:extLst>
          </c:dPt>
          <c:dPt>
            <c:idx val="1"/>
            <c:invertIfNegative val="0"/>
            <c:bubble3D val="0"/>
            <c:spPr>
              <a:solidFill>
                <a:srgbClr val="1F497D">
                  <a:lumMod val="60000"/>
                  <a:lumOff val="40000"/>
                </a:srgbClr>
              </a:solidFill>
            </c:spPr>
            <c:extLst xmlns:c16r2="http://schemas.microsoft.com/office/drawing/2015/06/chart">
              <c:ext xmlns:c16="http://schemas.microsoft.com/office/drawing/2014/chart" uri="{C3380CC4-5D6E-409C-BE32-E72D297353CC}">
                <c16:uniqueId val="{00000004-26C6-4246-B8FE-FF6F18048772}"/>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Experts</c:v>
                </c:pt>
                <c:pt idx="1">
                  <c:v>Selves</c:v>
                </c:pt>
              </c:strCache>
            </c:strRef>
          </c:cat>
          <c:val>
            <c:numRef>
              <c:f>Sheet1!$C$2:$C$3</c:f>
              <c:numCache>
                <c:formatCode>General</c:formatCode>
                <c:ptCount val="2"/>
                <c:pt idx="0">
                  <c:v>3.17</c:v>
                </c:pt>
                <c:pt idx="1">
                  <c:v>2.72</c:v>
                </c:pt>
              </c:numCache>
            </c:numRef>
          </c:val>
          <c:extLst xmlns:c16r2="http://schemas.microsoft.com/office/drawing/2015/06/chart">
            <c:ext xmlns:c16="http://schemas.microsoft.com/office/drawing/2014/chart" uri="{C3380CC4-5D6E-409C-BE32-E72D297353CC}">
              <c16:uniqueId val="{00000005-26C6-4246-B8FE-FF6F18048772}"/>
            </c:ext>
          </c:extLst>
        </c:ser>
        <c:ser>
          <c:idx val="2"/>
          <c:order val="2"/>
          <c:tx>
            <c:strRef>
              <c:f>Sheet1!$D$1</c:f>
              <c:strCache>
                <c:ptCount val="1"/>
                <c:pt idx="0">
                  <c:v>Cycle III</c:v>
                </c:pt>
              </c:strCache>
            </c:strRef>
          </c:tx>
          <c:spPr>
            <a:pattFill prst="pct40">
              <a:fgClr>
                <a:sysClr val="windowText" lastClr="000000"/>
              </a:fgClr>
              <a:bgClr>
                <a:sysClr val="window" lastClr="FFFFFF"/>
              </a:bgClr>
            </a:patt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Experts</c:v>
                </c:pt>
                <c:pt idx="1">
                  <c:v>Selves</c:v>
                </c:pt>
              </c:strCache>
            </c:strRef>
          </c:cat>
          <c:val>
            <c:numRef>
              <c:f>Sheet1!$D$2:$D$3</c:f>
              <c:numCache>
                <c:formatCode>General</c:formatCode>
                <c:ptCount val="2"/>
                <c:pt idx="0">
                  <c:v>3.3099999999999987</c:v>
                </c:pt>
                <c:pt idx="1">
                  <c:v>2.14</c:v>
                </c:pt>
              </c:numCache>
            </c:numRef>
          </c:val>
          <c:extLst xmlns:c16r2="http://schemas.microsoft.com/office/drawing/2015/06/chart">
            <c:ext xmlns:c16="http://schemas.microsoft.com/office/drawing/2014/chart" uri="{C3380CC4-5D6E-409C-BE32-E72D297353CC}">
              <c16:uniqueId val="{00000006-26C6-4246-B8FE-FF6F18048772}"/>
            </c:ext>
          </c:extLst>
        </c:ser>
        <c:dLbls>
          <c:showLegendKey val="0"/>
          <c:showVal val="0"/>
          <c:showCatName val="0"/>
          <c:showSerName val="0"/>
          <c:showPercent val="0"/>
          <c:showBubbleSize val="0"/>
        </c:dLbls>
        <c:gapWidth val="150"/>
        <c:axId val="121385184"/>
        <c:axId val="121377736"/>
      </c:barChart>
      <c:catAx>
        <c:axId val="121385184"/>
        <c:scaling>
          <c:orientation val="minMax"/>
        </c:scaling>
        <c:delete val="0"/>
        <c:axPos val="b"/>
        <c:numFmt formatCode="General" sourceLinked="1"/>
        <c:majorTickMark val="none"/>
        <c:minorTickMark val="none"/>
        <c:tickLblPos val="nextTo"/>
        <c:txPr>
          <a:bodyPr/>
          <a:lstStyle/>
          <a:p>
            <a:pPr>
              <a:defRPr lang="en-GB"/>
            </a:pPr>
            <a:endParaRPr lang="en-US"/>
          </a:p>
        </c:txPr>
        <c:crossAx val="121377736"/>
        <c:crosses val="autoZero"/>
        <c:auto val="1"/>
        <c:lblAlgn val="ctr"/>
        <c:lblOffset val="100"/>
        <c:noMultiLvlLbl val="0"/>
      </c:catAx>
      <c:valAx>
        <c:axId val="121377736"/>
        <c:scaling>
          <c:orientation val="minMax"/>
          <c:min val="2"/>
        </c:scaling>
        <c:delete val="0"/>
        <c:axPos val="l"/>
        <c:minorGridlines/>
        <c:numFmt formatCode="General" sourceLinked="1"/>
        <c:majorTickMark val="none"/>
        <c:minorTickMark val="none"/>
        <c:tickLblPos val="nextTo"/>
        <c:txPr>
          <a:bodyPr/>
          <a:lstStyle/>
          <a:p>
            <a:pPr>
              <a:defRPr lang="en-GB"/>
            </a:pPr>
            <a:endParaRPr lang="en-US"/>
          </a:p>
        </c:txPr>
        <c:crossAx val="12138518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TotalTime>
  <Pages>5</Pages>
  <Words>1426</Words>
  <Characters>8134</Characters>
  <Application>Microsoft Office Word</Application>
  <DocSecurity>0</DocSecurity>
  <Lines>67</Lines>
  <Paragraphs>19</Paragraphs>
  <ScaleCrop>false</ScaleCrop>
  <Company/>
  <LinksUpToDate>false</LinksUpToDate>
  <CharactersWithSpaces>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Research</dc:creator>
  <cp:keywords/>
  <dc:description/>
  <cp:lastModifiedBy>Research 1</cp:lastModifiedBy>
  <cp:revision>2</cp:revision>
  <dcterms:created xsi:type="dcterms:W3CDTF">2020-12-14T06:56:00Z</dcterms:created>
  <dcterms:modified xsi:type="dcterms:W3CDTF">2020-12-16T09:32:00Z</dcterms:modified>
</cp:coreProperties>
</file>